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Times New Roman" w:hAnsi="Times New Roman"/>
        </w:rPr>
      </w:pPr>
      <w:r>
        <w:rPr>
          <w:rFonts w:eastAsia="新細明體" w:cs="Lucida Sans" w:ascii="Times New Roman" w:hAnsi="Times New Roman"/>
          <w:color w:val="auto"/>
          <w:kern w:val="0"/>
          <w:sz w:val="24"/>
          <w:szCs w:val="24"/>
          <w:lang w:val="en-US" w:eastAsia="zh-TW" w:bidi="hi-IN"/>
        </w:rPr>
        <w:t xml:space="preserve"> </w:t>
      </w:r>
      <w:r>
        <w:rPr>
          <w:rFonts w:ascii="Times New Roman" w:hAnsi="Times New Roman"/>
        </w:rPr>
        <w:t>FOR IMMEDIATE RELEASE</w:t>
      </w:r>
    </w:p>
    <w:p>
      <w:pPr>
        <w:pStyle w:val="Heading1"/>
        <w:bidi w:val="0"/>
        <w:spacing w:before="0" w:after="0"/>
        <w:jc w:val="center"/>
        <w:rPr>
          <w:rFonts w:ascii="Times New Roman" w:hAnsi="Times New Roman"/>
          <w:sz w:val="28"/>
          <w:szCs w:val="28"/>
        </w:rPr>
      </w:pPr>
      <w:r>
        <w:rPr>
          <w:rFonts w:ascii="Times New Roman" w:hAnsi="Times New Roman"/>
          <w:sz w:val="28"/>
          <w:szCs w:val="28"/>
        </w:rPr>
        <w:t xml:space="preserve">ECSIPC presenta en Computex 2023 sus novedosas soluciones de </w:t>
      </w:r>
      <w:r>
        <w:rPr>
          <w:rFonts w:ascii="Times New Roman" w:hAnsi="Times New Roman"/>
          <w:i/>
          <w:iCs/>
          <w:sz w:val="28"/>
          <w:szCs w:val="28"/>
        </w:rPr>
        <w:t>Smart Retail</w:t>
      </w:r>
      <w:r>
        <w:rPr>
          <w:rFonts w:ascii="Times New Roman" w:hAnsi="Times New Roman"/>
          <w:sz w:val="28"/>
          <w:szCs w:val="28"/>
        </w:rPr>
        <w:t>, terminal público e inteligencia industrial automatizada</w:t>
      </w:r>
    </w:p>
    <w:p>
      <w:pPr>
        <w:pStyle w:val="Heading2"/>
        <w:bidi w:val="0"/>
        <w:spacing w:before="0" w:after="0"/>
        <w:ind w:left="0" w:hanging="0"/>
        <w:jc w:val="center"/>
        <w:rPr>
          <w:rFonts w:ascii="Times New Roman" w:hAnsi="Times New Roman"/>
        </w:rPr>
      </w:pPr>
      <w:r>
        <w:rPr>
          <w:rFonts w:ascii="Times New Roman" w:hAnsi="Times New Roman"/>
          <w:b w:val="false"/>
          <w:i/>
        </w:rPr>
        <w:br/>
      </w:r>
      <w:r>
        <w:rPr>
          <w:rFonts w:ascii="Times New Roman" w:hAnsi="Times New Roman"/>
          <w:b w:val="false"/>
          <w:i/>
          <w:sz w:val="26"/>
          <w:szCs w:val="26"/>
        </w:rPr>
        <w:t>Incluyendo los nuevos modelos de LIVA Z5 Plus, placas base, y el cargador comercial inteligente CC de 360kW y doble salida para vehículos eléctricos (VE)</w:t>
      </w:r>
    </w:p>
    <w:p>
      <w:pPr>
        <w:pStyle w:val="TextBody"/>
        <w:bidi w:val="0"/>
        <w:spacing w:before="0" w:after="283"/>
        <w:jc w:val="left"/>
        <w:rPr>
          <w:rFonts w:ascii="Times New Roman" w:hAnsi="Times New Roman"/>
        </w:rPr>
      </w:pPr>
      <w:r>
        <w:rPr>
          <w:rFonts w:ascii="Times New Roman" w:hAnsi="Times New Roman"/>
        </w:rPr>
        <w:br/>
      </w:r>
      <w:r>
        <w:rPr>
          <w:rFonts w:ascii="Times New Roman" w:hAnsi="Times New Roman"/>
          <w:b/>
        </w:rPr>
        <w:t>Taipéi, Taiwán, 18 de mayo de 2023 -</w:t>
      </w:r>
      <w:r>
        <w:rPr>
          <w:rFonts w:ascii="Times New Roman" w:hAnsi="Times New Roman"/>
        </w:rPr>
        <w:t xml:space="preserve"> ECS Industrial Computer Co., Ltd., (ECSIPC) se complace en anunciar su participación en Computex 2023. Como un proveedor de soluciones completas, presentará una amplia gama de novedosos productos integrales para Smart Retail o venta inteligente, automatización inteligente, kioscos informativos, terminales de lotería, lo que incluye los modelos de mini PC LIVA Z5 Plus y las placas base B760H7-M8 y Q670H7-IS1. ECSIPC exhibirá sus soluciones integrales de carga inteligente, lo que incluye los cargadores CA para uso doméstico y comercial, y los cargadores de CC con 360kW de potencia de salida, listos para su implantación directa en empresas y otras aplicaciones comerciales.</w:t>
        <w:br/>
        <w:br/>
        <w:t>Únete a ECSIPC en el centro de exposiciones Nangang, Taipéi, Hall 1, 4F, estand número L0317a desde el 30 de mayo al 2 de junio de 2023.</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 xml:space="preserve">Novedosos modelos de mini PC LIVA Z5 Plus para soluciones de </w:t>
      </w:r>
      <w:r>
        <w:rPr>
          <w:rFonts w:ascii="Times New Roman" w:hAnsi="Times New Roman"/>
          <w:i/>
          <w:iCs/>
          <w:sz w:val="26"/>
          <w:szCs w:val="26"/>
        </w:rPr>
        <w:t>Smart Retail</w:t>
      </w:r>
    </w:p>
    <w:p>
      <w:pPr>
        <w:pStyle w:val="TextBody"/>
        <w:bidi w:val="0"/>
        <w:spacing w:before="0" w:after="283"/>
        <w:jc w:val="left"/>
        <w:rPr>
          <w:rFonts w:ascii="Times New Roman" w:hAnsi="Times New Roman"/>
        </w:rPr>
      </w:pPr>
      <w:r>
        <w:rPr>
          <w:rFonts w:ascii="Times New Roman" w:hAnsi="Times New Roman"/>
        </w:rPr>
        <w:t>En la feria Computex 2023 ECSIPC lanzará sus novedosos LIVA Z5 Plus y mini PC LIV</w:t>
      </w:r>
      <w:r>
        <w:rPr>
          <w:rFonts w:eastAsia="新細明體" w:cs="Lucida Sans" w:ascii="Times New Roman" w:hAnsi="Times New Roman"/>
          <w:color w:val="auto"/>
          <w:kern w:val="0"/>
          <w:sz w:val="24"/>
          <w:szCs w:val="24"/>
          <w:lang w:val="en-US" w:eastAsia="zh-TW" w:bidi="hi-IN"/>
        </w:rPr>
        <w:t>A</w:t>
      </w:r>
      <w:r>
        <w:rPr>
          <w:rFonts w:ascii="Times New Roman" w:hAnsi="Times New Roman"/>
        </w:rPr>
        <w:t xml:space="preserve"> Z5E Plus totalmente preparados para kioscos comerciales autoservicio con señalización digital. Para poder demostrar sus impresionantes posibilidades como parte de una solución integral de </w:t>
      </w:r>
      <w:r>
        <w:rPr>
          <w:rFonts w:ascii="Times New Roman" w:hAnsi="Times New Roman"/>
          <w:i/>
          <w:iCs/>
        </w:rPr>
        <w:t>Smart Retail</w:t>
      </w:r>
      <w:r>
        <w:rPr>
          <w:rFonts w:ascii="Times New Roman" w:hAnsi="Times New Roman"/>
        </w:rPr>
        <w:t xml:space="preserve">, los visitantes pueden pedir su propio té de burbujas en un kiosko autoservicio totalmente automatizado que incluye pantallas 4K en las que se muestra el menú de bebidas, el estado del pedido y promociones de ventas. Todo desde un único LIVA Z5 </w:t>
      </w:r>
      <w:r>
        <w:rPr>
          <w:rFonts w:ascii="Times New Roman" w:hAnsi="Times New Roman"/>
        </w:rPr>
        <w:t>Plus</w:t>
      </w:r>
      <w:r>
        <w:rPr>
          <w:rFonts w:ascii="Times New Roman" w:hAnsi="Times New Roman"/>
        </w:rPr>
        <w:t>. Estos mini PC de última tecnología pueden conectarse hasta con cuatro monitores 4K simultáneamente. Gracias a un procesador Intel® Core™ i de 13ª generación incorporado, proporcionan un rendimiento superior con el mínimo consumo de potencia. Están disponibles otras opciones de entrada y salida avanzadas, y las opciones de almacenamiento incluyen un SSD M.2 2280 PCI-E NVMe Gen-4x4 de alta velocidad y la opción de un SSD SATA de 2,5 pulgadas (Z5E</w:t>
      </w:r>
      <w:r>
        <w:rPr>
          <w:rFonts w:eastAsia="新細明體" w:cs="Lucida Sans" w:ascii="Times New Roman" w:hAnsi="Times New Roman"/>
          <w:color w:val="auto"/>
          <w:kern w:val="0"/>
          <w:sz w:val="24"/>
          <w:szCs w:val="24"/>
          <w:lang w:val="en-US" w:eastAsia="zh-TW" w:bidi="hi-IN"/>
        </w:rPr>
        <w:t xml:space="preserve"> </w:t>
      </w:r>
      <w:r>
        <w:rPr>
          <w:rFonts w:eastAsia="新細明體" w:cs="Lucida Sans" w:ascii="Times New Roman" w:hAnsi="Times New Roman"/>
          <w:color w:val="auto"/>
          <w:kern w:val="0"/>
          <w:sz w:val="24"/>
          <w:szCs w:val="24"/>
          <w:lang w:val="en-US" w:eastAsia="zh-TW" w:bidi="hi-IN"/>
        </w:rPr>
        <w:t>Plus</w:t>
      </w:r>
      <w:r>
        <w:rPr>
          <w:rFonts w:ascii="Times New Roman" w:hAnsi="Times New Roman"/>
        </w:rPr>
        <w:t>). La conectividad incluye dos 2,5GbE, con opción de Intel vPro®, y conectividad de Wi-Fi 6 lo que proporciona un rendimiento multi-gigabit.</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Placa base de alto rendimiento para kioskos informativos y terminales públicos</w:t>
      </w:r>
    </w:p>
    <w:p>
      <w:pPr>
        <w:pStyle w:val="TextBody"/>
        <w:bidi w:val="0"/>
        <w:spacing w:before="0" w:after="283"/>
        <w:jc w:val="left"/>
        <w:rPr>
          <w:rFonts w:ascii="Times New Roman" w:hAnsi="Times New Roman"/>
        </w:rPr>
      </w:pPr>
      <w:r>
        <w:rPr>
          <w:rFonts w:ascii="Times New Roman" w:hAnsi="Times New Roman"/>
        </w:rPr>
        <w:t>Diseñada para aplicaciones públicas como kioskos informativos y terminales de lotería, la novedosa B760H7-M8 ofrece un alto rendimiento e incluye otras opciones de entrada y salia avanzadas, lo que le permite proporcionar un eje de funcionamiento sólido para diseños atrayentes con una amplia gama de pantallas táctiles, interruptores e iluminación vibrante. Compatible con los procesadores de 13ª generación Intel® Core™ i y la memoria DDR5 de alta velocidad, la placa base utiliza condensadores sólidos 100% para una estabilidad y ciclo de vida mayores. Es posible añadir gráficos 3D avanzados a través de una tarjeta GPU incorporada en la ranura PCI-Express 5.0 16x, y las opciones de almacenamiento incluyen dos SSD M.2 NVMe PCI-E 4x4 de alta velocidad, y cuatro puertos SATA.</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Placas base industriales y compactas para equipos de pruebas de automóviles inteligentes y robots móviles autónomos</w:t>
      </w:r>
    </w:p>
    <w:p>
      <w:pPr>
        <w:pStyle w:val="TextBody"/>
        <w:bidi w:val="0"/>
        <w:spacing w:before="0" w:after="283"/>
        <w:jc w:val="left"/>
        <w:rPr>
          <w:rFonts w:ascii="Times New Roman" w:hAnsi="Times New Roman"/>
        </w:rPr>
      </w:pPr>
      <w:r>
        <w:rPr>
          <w:rFonts w:ascii="Times New Roman" w:hAnsi="Times New Roman"/>
        </w:rPr>
        <w:t>La placa base Q670H7-IS1 de ECSIPC es idónea para automatización inteligente en aplicaciones industriales como los equipos de pruebas para automóviles inteligentes (ATE), y los robots móviles autónomos (AMR). Es compatible con la13ª Generación de procesadores Intel® Core™ i e incluye una ranura PCI-Express 5.0 16X para GPU de alto rendimiento o tarjetas FPGA preparadas para el procesamiento de IA y ML (aprendizaje automático). Esta placa base mini-ITX compacta es idónea para pequeños espacios de equipo. También están disponibles memorias DDR5 de gran capacidad (hasta 128 GB), y dispositivos de almacenamiento SSD M.2 NVMe PCI-E 4x4 y SATA. La conectividad incluye dos módulos Ethernet, Wi-Fi/BT e incluso LTE/5G. Están disponibles los anteriores COM RS232/422/485 para permitir la compatibilidad de una amplia gama de interfaces de equipamiento industrial.</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Cargador comercial inteligente CC de 360kW y doble salida para vehículos eléctricos (VE)</w:t>
      </w:r>
    </w:p>
    <w:p>
      <w:pPr>
        <w:pStyle w:val="TextBody"/>
        <w:bidi w:val="0"/>
        <w:spacing w:before="0" w:after="283"/>
        <w:jc w:val="left"/>
        <w:rPr>
          <w:rFonts w:ascii="Times New Roman" w:hAnsi="Times New Roman"/>
        </w:rPr>
      </w:pPr>
      <w:r>
        <w:rPr>
          <w:rFonts w:ascii="Times New Roman" w:hAnsi="Times New Roman"/>
        </w:rPr>
        <w:t>Ya que la adopción de vehículos eléctricos (VE) está creciendo en todo el mundo, ECSIPC ha lanzado un cargador comercial inteligente CC con posibilidad de doble salida y una impresionante potencia eléctrica de hasta 360kW (max 400A, 480V, trifásica). Esta solución integral completa proporciona una velocidad de carga superrápida para aparcamientos comunitarios, operadores de flotas comerciales, concesionarios de automóviles, operadores de infraestructuras y proveedores de servicios de VE, y estaciones de servicio en autopistas.</w:t>
        <w:br/>
        <w:br/>
        <w:t>Incluye una pantalla de señalización digital que permite consular fácilmente la información sobre el estado e incluso muestra las oportunidades publicitarias para operadores públicos, más un sistema de pago PCI-PTS integrado que permite el método de pago "toca y paga" a través de un acceso seguro a internet. La interfaz de carga cumple con la normativa CCS2, OCPP 1.6 JSON e ISO 15118. El cargador inteligente CC se integra con la plataforma de gestión ECSIPC, lo que permite a operadores, integradores de sistemas y clientes comerciales controlar cómodamente la estación de carga de forma remota.</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Información sobre ECS Industrial Computer Co., Ltd (ECSIPC)</w:t>
      </w:r>
    </w:p>
    <w:p>
      <w:pPr>
        <w:pStyle w:val="TextBody"/>
        <w:bidi w:val="0"/>
        <w:spacing w:before="0" w:after="283"/>
        <w:jc w:val="left"/>
        <w:rPr/>
      </w:pPr>
      <w:r>
        <w:rPr>
          <w:rFonts w:ascii="Times New Roman" w:hAnsi="Times New Roman"/>
        </w:rPr>
        <w:t xml:space="preserve">ECS Industrial Computer Co., Ltd es una filial creada en 2022 a través de Elitegroup Computer Systems, conocida como ECS. ECSIPC se centra en productos de aplicaciones verticales industriales que proporcionen soluciones para crear una eficiencia y valor mayores en operaciones comerciales al combinar nuestra propia red de servicios globales con los recursos de canal existentes para obtener la máxima sinergia. Para más información, visite el sitio web </w:t>
      </w:r>
      <w:hyperlink r:id="rId2" w:tgtFrame="_blank">
        <w:r>
          <w:rPr>
            <w:rFonts w:ascii="Times New Roman" w:hAnsi="Times New Roman"/>
            <w:color w:val="2A6099"/>
          </w:rPr>
          <w:t>http://www.ecsipc.com</w:t>
        </w:r>
      </w:hyperlink>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Unicode MS">
    <w:charset w:val="00"/>
    <w:family w:val="swiss"/>
    <w:pitch w:val="variable"/>
  </w:font>
  <w:font w:name="Liberation Serif">
    <w:altName w:val="Times New Roman"/>
    <w:charset w:val="00"/>
    <w:family w:val="swiss"/>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Heading1">
    <w:name w:val="Heading 1"/>
    <w:basedOn w:val="Style14"/>
    <w:next w:val="TextBody"/>
    <w:qFormat/>
    <w:pPr/>
    <w:rPr>
      <w:rFonts w:ascii="Liberation Sans Unicode MS" w:hAnsi="Liberation Sans Unicode MS"/>
      <w:b/>
      <w:bCs/>
      <w:sz w:val="48"/>
      <w:szCs w:val="44"/>
    </w:rPr>
  </w:style>
  <w:style w:type="paragraph" w:styleId="Heading2">
    <w:name w:val="Heading 2"/>
    <w:basedOn w:val="Style14"/>
    <w:next w:val="TextBody"/>
    <w:qFormat/>
    <w:pPr>
      <w:spacing w:before="200" w:after="120"/>
      <w:outlineLvl w:val="1"/>
    </w:pPr>
    <w:rPr>
      <w:rFonts w:ascii="Liberation Serif" w:hAnsi="Liberation Serif" w:eastAsia="新細明體" w:cs="Lucida Sans"/>
      <w:b/>
      <w:bCs/>
      <w:sz w:val="36"/>
      <w:szCs w:val="36"/>
    </w:rPr>
  </w:style>
  <w:style w:type="paragraph" w:styleId="Heading3">
    <w:name w:val="Heading 3"/>
    <w:basedOn w:val="Style14"/>
    <w:next w:val="TextBody"/>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qFormat/>
    <w:rPr>
      <w:color w:val="000080"/>
      <w:u w:val="single"/>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283"/>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lang w:val="zxx" w:eastAsia="zxx" w:bidi="zxx"/>
    </w:rPr>
  </w:style>
  <w:style w:type="paragraph" w:styleId="Style14">
    <w:name w:val="標題"/>
    <w:basedOn w:val="Normal"/>
    <w:next w:val="TextBody"/>
    <w:qFormat/>
    <w:pPr>
      <w:keepNext w:val="true"/>
      <w:spacing w:before="240" w:after="283"/>
    </w:pPr>
    <w:rPr>
      <w:rFonts w:ascii="Liberation Sans" w:hAnsi="Liberation Sans"/>
      <w:sz w:val="28"/>
      <w:szCs w:val="28"/>
    </w:rPr>
  </w:style>
  <w:style w:type="paragraph" w:styleId="Style15">
    <w:name w:val="索引"/>
    <w:basedOn w:val="Normal"/>
    <w:qFormat/>
    <w:pPr>
      <w:suppressLineNumbers/>
    </w:pPr>
    <w:rPr>
      <w:rFonts w:cs="Lucida Sans"/>
      <w:lang w:val="zxx" w:eastAsia="zxx" w:bidi="zxx"/>
    </w:rPr>
  </w:style>
  <w:style w:type="paragraph" w:styleId="Style16">
    <w:name w:val="水平線"/>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Style17">
    <w:name w:val="表格內容"/>
    <w:basedOn w:val="TextBody"/>
    <w:qFormat/>
    <w:pPr/>
    <w:rPr/>
  </w:style>
  <w:style w:type="paragraph" w:styleId="Style18">
    <w:name w:val="頁首與頁尾"/>
    <w:basedOn w:val="Normal"/>
    <w:qFormat/>
    <w:pPr>
      <w:suppressLineNumbers/>
      <w:tabs>
        <w:tab w:val="clear" w:pos="1134"/>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sipc.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LibreOffice/7.3.2.2$Windows_X86_64 LibreOffice_project/49f2b1bff42cfccbd8f788c8dc32c1c309559be0</Application>
  <AppVersion>15.0000</AppVersion>
  <Pages>2</Pages>
  <Words>906</Words>
  <Characters>5056</Characters>
  <CharactersWithSpaces>5954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2023-05-16T16:00:22Z</dcterms:modified>
  <cp:revision>5</cp:revision>
  <dc:subject/>
  <dc:title>ECSIPC presenta en Computex 2023 sus novedosas soluciones de Smart Retail, terminal público e inteligencia industrial automatizada</dc:title>
</cp:coreProperties>
</file>

<file path=docProps/custom.xml><?xml version="1.0" encoding="utf-8"?>
<Properties xmlns="http://schemas.openxmlformats.org/officeDocument/2006/custom-properties" xmlns:vt="http://schemas.openxmlformats.org/officeDocument/2006/docPropsVTypes"/>
</file>