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BA" w:rsidRPr="005413A8" w:rsidRDefault="0081582B">
      <w:pPr>
        <w:rPr>
          <w:rFonts w:asciiTheme="minorHAnsi" w:hAnsiTheme="minorHAnsi" w:cstheme="minorHAnsi"/>
        </w:rPr>
      </w:pPr>
      <w:r w:rsidRPr="005413A8">
        <w:rPr>
          <w:rFonts w:asciiTheme="minorHAnsi" w:hAnsiTheme="minorHAnsi" w:cstheme="minorHAnsi"/>
        </w:rPr>
        <w:t>FOR IMMEDIATE RELEASE</w:t>
      </w:r>
    </w:p>
    <w:p w:rsidR="00A454BA" w:rsidRPr="005413A8" w:rsidRDefault="0081582B">
      <w:pPr>
        <w:pStyle w:val="1"/>
        <w:spacing w:before="0" w:beforeAutospacing="0" w:after="0" w:afterAutospacing="0"/>
        <w:jc w:val="center"/>
        <w:rPr>
          <w:rFonts w:asciiTheme="minorHAnsi" w:hAnsiTheme="minorHAnsi" w:cstheme="minorHAnsi"/>
        </w:rPr>
      </w:pP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Demos New </w:t>
      </w:r>
      <w:proofErr w:type="spellStart"/>
      <w:r w:rsidRPr="005413A8">
        <w:rPr>
          <w:rFonts w:asciiTheme="minorHAnsi" w:hAnsiTheme="minorHAnsi" w:cstheme="minorHAnsi"/>
        </w:rPr>
        <w:t>QuattroPod</w:t>
      </w:r>
      <w:proofErr w:type="spellEnd"/>
      <w:r w:rsidRPr="005413A8">
        <w:rPr>
          <w:rFonts w:asciiTheme="minorHAnsi" w:hAnsiTheme="minorHAnsi" w:cstheme="minorHAnsi"/>
        </w:rPr>
        <w:t xml:space="preserve"> T02+, Wireless and Multicasting Display Devices at ISE 2022</w:t>
      </w:r>
    </w:p>
    <w:p w:rsidR="00A454BA" w:rsidRPr="005413A8" w:rsidRDefault="0081582B">
      <w:pPr>
        <w:pStyle w:val="2"/>
        <w:jc w:val="center"/>
        <w:rPr>
          <w:rFonts w:asciiTheme="minorHAnsi" w:hAnsiTheme="minorHAnsi" w:cstheme="minorHAnsi"/>
          <w:i/>
          <w:iCs/>
        </w:rPr>
      </w:pPr>
      <w:r w:rsidRPr="005413A8">
        <w:rPr>
          <w:rFonts w:asciiTheme="minorHAnsi" w:hAnsiTheme="minorHAnsi" w:cstheme="minorHAnsi"/>
          <w:i/>
          <w:iCs/>
        </w:rPr>
        <w:t xml:space="preserve">Introducing new </w:t>
      </w:r>
      <w:proofErr w:type="spellStart"/>
      <w:r w:rsidRPr="005413A8">
        <w:rPr>
          <w:rFonts w:asciiTheme="minorHAnsi" w:hAnsiTheme="minorHAnsi" w:cstheme="minorHAnsi"/>
          <w:i/>
          <w:iCs/>
        </w:rPr>
        <w:t>Miracast</w:t>
      </w:r>
      <w:proofErr w:type="spellEnd"/>
      <w:r w:rsidRPr="005413A8">
        <w:rPr>
          <w:rFonts w:asciiTheme="minorHAnsi" w:hAnsiTheme="minorHAnsi" w:cstheme="minorHAnsi"/>
          <w:i/>
          <w:iCs/>
        </w:rPr>
        <w:t xml:space="preserve"> split-screen mirroring technology to wireless display product lines</w:t>
      </w:r>
    </w:p>
    <w:p w:rsidR="00A454BA" w:rsidRPr="005413A8" w:rsidRDefault="0081582B">
      <w:pPr>
        <w:spacing w:after="240"/>
        <w:rPr>
          <w:rFonts w:asciiTheme="minorHAnsi" w:hAnsiTheme="minorHAnsi" w:cstheme="minorHAnsi"/>
        </w:rPr>
      </w:pPr>
      <w:r w:rsidRPr="005413A8">
        <w:rPr>
          <w:rFonts w:asciiTheme="minorHAnsi" w:hAnsiTheme="minorHAnsi" w:cstheme="minorHAnsi"/>
          <w:b/>
          <w:bCs/>
        </w:rPr>
        <w:t>New Taipei City, Taiwan, May 4, 2022</w:t>
      </w:r>
      <w:r w:rsidRPr="005413A8">
        <w:rPr>
          <w:rFonts w:asciiTheme="minorHAnsi" w:hAnsiTheme="minorHAnsi" w:cstheme="minorHAnsi"/>
          <w:b/>
          <w:bCs/>
          <w:i/>
          <w:iCs/>
        </w:rPr>
        <w:t xml:space="preserve"> -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a leading innovator of wireless display technologies, has announced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will be attending ISE 2022 where it will showcase a range of products that focus on professional and educational applications, including the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w:t>
      </w:r>
      <w:proofErr w:type="spellStart"/>
      <w:r w:rsidRPr="005413A8">
        <w:rPr>
          <w:rFonts w:asciiTheme="minorHAnsi" w:hAnsiTheme="minorHAnsi" w:cstheme="minorHAnsi"/>
        </w:rPr>
        <w:t>ProAV</w:t>
      </w:r>
      <w:proofErr w:type="spellEnd"/>
      <w:r w:rsidRPr="005413A8">
        <w:rPr>
          <w:rFonts w:asciiTheme="minorHAnsi" w:hAnsiTheme="minorHAnsi" w:cstheme="minorHAnsi"/>
        </w:rPr>
        <w:t xml:space="preserve">,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series, and </w:t>
      </w:r>
      <w:proofErr w:type="spellStart"/>
      <w:r w:rsidRPr="005413A8">
        <w:rPr>
          <w:rFonts w:asciiTheme="minorHAnsi" w:hAnsiTheme="minorHAnsi" w:cstheme="minorHAnsi"/>
        </w:rPr>
        <w:t>QuattroPod</w:t>
      </w:r>
      <w:proofErr w:type="spellEnd"/>
      <w:r w:rsidRPr="005413A8">
        <w:rPr>
          <w:rFonts w:asciiTheme="minorHAnsi" w:hAnsiTheme="minorHAnsi" w:cstheme="minorHAnsi"/>
        </w:rPr>
        <w:t xml:space="preserve"> series.</w:t>
      </w:r>
      <w:r w:rsidRPr="005413A8">
        <w:rPr>
          <w:rFonts w:asciiTheme="minorHAnsi" w:hAnsiTheme="minorHAnsi" w:cstheme="minorHAnsi"/>
        </w:rPr>
        <w:br/>
      </w:r>
      <w:r w:rsidRPr="005413A8">
        <w:rPr>
          <w:rFonts w:asciiTheme="minorHAnsi" w:hAnsiTheme="minorHAnsi" w:cstheme="minorHAnsi"/>
        </w:rPr>
        <w:br/>
      </w:r>
      <w:r w:rsidRPr="005413A8">
        <w:rPr>
          <w:rFonts w:asciiTheme="minorHAnsi" w:hAnsiTheme="minorHAnsi" w:cstheme="minorHAnsi"/>
          <w:b/>
          <w:bCs/>
        </w:rPr>
        <w:t xml:space="preserve">Join </w:t>
      </w:r>
      <w:proofErr w:type="spellStart"/>
      <w:r w:rsidRPr="005413A8">
        <w:rPr>
          <w:rFonts w:asciiTheme="minorHAnsi" w:hAnsiTheme="minorHAnsi" w:cstheme="minorHAnsi"/>
          <w:b/>
          <w:bCs/>
        </w:rPr>
        <w:t>EZCast</w:t>
      </w:r>
      <w:proofErr w:type="spellEnd"/>
      <w:r w:rsidRPr="005413A8">
        <w:rPr>
          <w:rFonts w:asciiTheme="minorHAnsi" w:hAnsiTheme="minorHAnsi" w:cstheme="minorHAnsi"/>
          <w:b/>
          <w:bCs/>
        </w:rPr>
        <w:t xml:space="preserve"> Pro at ISE 2022, </w:t>
      </w:r>
      <w:proofErr w:type="spellStart"/>
      <w:r w:rsidRPr="005413A8">
        <w:rPr>
          <w:rFonts w:asciiTheme="minorHAnsi" w:hAnsiTheme="minorHAnsi" w:cstheme="minorHAnsi"/>
          <w:b/>
          <w:bCs/>
        </w:rPr>
        <w:t>Fira</w:t>
      </w:r>
      <w:proofErr w:type="spellEnd"/>
      <w:r w:rsidRPr="005413A8">
        <w:rPr>
          <w:rFonts w:asciiTheme="minorHAnsi" w:hAnsiTheme="minorHAnsi" w:cstheme="minorHAnsi"/>
          <w:b/>
          <w:bCs/>
        </w:rPr>
        <w:t xml:space="preserve"> Barcelona, Gran Via Hall 2 #2J100, May 10th to 13th 2022.</w:t>
      </w:r>
    </w:p>
    <w:p w:rsidR="00A454BA" w:rsidRPr="005413A8" w:rsidRDefault="0081582B">
      <w:pPr>
        <w:pStyle w:val="3"/>
        <w:spacing w:before="0" w:beforeAutospacing="0" w:after="0" w:afterAutospacing="0"/>
        <w:rPr>
          <w:rFonts w:asciiTheme="minorHAnsi" w:hAnsiTheme="minorHAnsi" w:cstheme="minorHAnsi"/>
        </w:rPr>
      </w:pPr>
      <w:r w:rsidRPr="005413A8">
        <w:rPr>
          <w:rFonts w:asciiTheme="minorHAnsi" w:hAnsiTheme="minorHAnsi" w:cstheme="minorHAnsi"/>
        </w:rPr>
        <w:t xml:space="preserve">New </w:t>
      </w:r>
      <w:proofErr w:type="spellStart"/>
      <w:r w:rsidRPr="005413A8">
        <w:rPr>
          <w:rFonts w:asciiTheme="minorHAnsi" w:hAnsiTheme="minorHAnsi" w:cstheme="minorHAnsi"/>
        </w:rPr>
        <w:t>QuattroPod</w:t>
      </w:r>
      <w:proofErr w:type="spellEnd"/>
      <w:r w:rsidRPr="005413A8">
        <w:rPr>
          <w:rFonts w:asciiTheme="minorHAnsi" w:hAnsiTheme="minorHAnsi" w:cstheme="minorHAnsi"/>
        </w:rPr>
        <w:t xml:space="preserve"> T02+</w:t>
      </w:r>
    </w:p>
    <w:p w:rsidR="00A454BA" w:rsidRPr="005413A8" w:rsidRDefault="0081582B">
      <w:pPr>
        <w:spacing w:after="240"/>
        <w:rPr>
          <w:rFonts w:asciiTheme="minorHAnsi" w:hAnsiTheme="minorHAnsi" w:cstheme="minorHAnsi"/>
        </w:rPr>
      </w:pPr>
      <w:r w:rsidRPr="005413A8">
        <w:rPr>
          <w:rFonts w:asciiTheme="minorHAnsi" w:hAnsiTheme="minorHAnsi" w:cstheme="minorHAnsi"/>
        </w:rPr>
        <w:t xml:space="preserve">The </w:t>
      </w:r>
      <w:proofErr w:type="spellStart"/>
      <w:r w:rsidRPr="005413A8">
        <w:rPr>
          <w:rFonts w:asciiTheme="minorHAnsi" w:hAnsiTheme="minorHAnsi" w:cstheme="minorHAnsi"/>
        </w:rPr>
        <w:t>QuattroPod</w:t>
      </w:r>
      <w:proofErr w:type="spellEnd"/>
      <w:r w:rsidRPr="005413A8">
        <w:rPr>
          <w:rFonts w:asciiTheme="minorHAnsi" w:hAnsiTheme="minorHAnsi" w:cstheme="minorHAnsi"/>
        </w:rPr>
        <w:t xml:space="preserve"> T02+ is ideal for presentation in hybrid work/educational needs. This plug-and-play USB dongle provides a 1-to-many display multicasting. The </w:t>
      </w:r>
      <w:proofErr w:type="spellStart"/>
      <w:r w:rsidRPr="005413A8">
        <w:rPr>
          <w:rFonts w:asciiTheme="minorHAnsi" w:hAnsiTheme="minorHAnsi" w:cstheme="minorHAnsi"/>
        </w:rPr>
        <w:t>QuattroPod</w:t>
      </w:r>
      <w:proofErr w:type="spellEnd"/>
      <w:r w:rsidRPr="005413A8">
        <w:rPr>
          <w:rFonts w:asciiTheme="minorHAnsi" w:hAnsiTheme="minorHAnsi" w:cstheme="minorHAnsi"/>
        </w:rPr>
        <w:t xml:space="preserve"> T02+ easily connects via USB to any laptop, allowing HDMI input from a camera, DVD/BD disc player, or other HDMI equipped devices, capturing the display stream and transmitting it into virtual meeting apps such as Zoom, Google Meet, Teams and other online meeting Apps. Connected to a </w:t>
      </w:r>
      <w:proofErr w:type="spellStart"/>
      <w:r w:rsidRPr="005413A8">
        <w:rPr>
          <w:rFonts w:asciiTheme="minorHAnsi" w:hAnsiTheme="minorHAnsi" w:cstheme="minorHAnsi"/>
        </w:rPr>
        <w:t>QuattroPod</w:t>
      </w:r>
      <w:proofErr w:type="spellEnd"/>
      <w:r w:rsidRPr="005413A8">
        <w:rPr>
          <w:rFonts w:asciiTheme="minorHAnsi" w:hAnsiTheme="minorHAnsi" w:cstheme="minorHAnsi"/>
        </w:rPr>
        <w:t xml:space="preserve"> Receiver R01, the feed can be wirelessly streamed to a large TV or monitor for others to view the presentation. Up to four transmitters can connect to a receiver for four-way split-screen or switched between each of them.</w:t>
      </w:r>
      <w:r w:rsidRPr="005413A8">
        <w:rPr>
          <w:rFonts w:asciiTheme="minorHAnsi" w:hAnsiTheme="minorHAnsi" w:cstheme="minorHAnsi"/>
        </w:rPr>
        <w:br/>
      </w:r>
      <w:r w:rsidRPr="005413A8">
        <w:rPr>
          <w:rFonts w:asciiTheme="minorHAnsi" w:hAnsiTheme="minorHAnsi" w:cstheme="minorHAnsi"/>
        </w:rPr>
        <w:br/>
        <w:t xml:space="preserve">Learn more about the </w:t>
      </w:r>
      <w:proofErr w:type="spellStart"/>
      <w:r w:rsidRPr="005413A8">
        <w:rPr>
          <w:rFonts w:asciiTheme="minorHAnsi" w:hAnsiTheme="minorHAnsi" w:cstheme="minorHAnsi"/>
        </w:rPr>
        <w:t>QuattroPod</w:t>
      </w:r>
      <w:proofErr w:type="spellEnd"/>
      <w:r w:rsidRPr="005413A8">
        <w:rPr>
          <w:rFonts w:asciiTheme="minorHAnsi" w:hAnsiTheme="minorHAnsi" w:cstheme="minorHAnsi"/>
        </w:rPr>
        <w:t xml:space="preserve"> series: </w:t>
      </w:r>
      <w:hyperlink r:id="rId6" w:tgtFrame="_blank" w:history="1">
        <w:r w:rsidRPr="005413A8">
          <w:rPr>
            <w:rStyle w:val="a3"/>
            <w:rFonts w:asciiTheme="minorHAnsi" w:hAnsiTheme="minorHAnsi" w:cstheme="minorHAnsi"/>
          </w:rPr>
          <w:t>https://ezcast-pro.com/quattropod-series-backup/</w:t>
        </w:r>
      </w:hyperlink>
      <w:r w:rsidRPr="005413A8">
        <w:rPr>
          <w:rFonts w:asciiTheme="minorHAnsi" w:hAnsiTheme="minorHAnsi" w:cstheme="minorHAnsi"/>
        </w:rPr>
        <w:t xml:space="preserve"> </w:t>
      </w:r>
    </w:p>
    <w:p w:rsidR="00A454BA" w:rsidRPr="005413A8" w:rsidRDefault="0081582B">
      <w:pPr>
        <w:pStyle w:val="3"/>
        <w:spacing w:before="0" w:beforeAutospacing="0" w:after="0" w:afterAutospacing="0"/>
        <w:rPr>
          <w:rFonts w:asciiTheme="minorHAnsi" w:hAnsiTheme="minorHAnsi" w:cstheme="minorHAnsi"/>
        </w:rPr>
      </w:pP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w:t>
      </w:r>
      <w:proofErr w:type="spellStart"/>
      <w:r w:rsidRPr="005413A8">
        <w:rPr>
          <w:rFonts w:asciiTheme="minorHAnsi" w:hAnsiTheme="minorHAnsi" w:cstheme="minorHAnsi"/>
        </w:rPr>
        <w:t>ProAV</w:t>
      </w:r>
      <w:proofErr w:type="spellEnd"/>
    </w:p>
    <w:p w:rsidR="00A454BA" w:rsidRPr="005413A8" w:rsidRDefault="0081582B">
      <w:pPr>
        <w:spacing w:after="240"/>
        <w:rPr>
          <w:rFonts w:asciiTheme="minorHAnsi" w:hAnsiTheme="minorHAnsi" w:cstheme="minorHAnsi"/>
        </w:rPr>
      </w:pPr>
      <w:r w:rsidRPr="005413A8">
        <w:rPr>
          <w:rFonts w:asciiTheme="minorHAnsi" w:hAnsiTheme="minorHAnsi" w:cstheme="minorHAnsi"/>
        </w:rPr>
        <w:t xml:space="preserve">The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w:t>
      </w:r>
      <w:proofErr w:type="spellStart"/>
      <w:r w:rsidRPr="005413A8">
        <w:rPr>
          <w:rFonts w:asciiTheme="minorHAnsi" w:hAnsiTheme="minorHAnsi" w:cstheme="minorHAnsi"/>
        </w:rPr>
        <w:t>ProAV</w:t>
      </w:r>
      <w:proofErr w:type="spellEnd"/>
      <w:r w:rsidRPr="005413A8">
        <w:rPr>
          <w:rFonts w:asciiTheme="minorHAnsi" w:hAnsiTheme="minorHAnsi" w:cstheme="minorHAnsi"/>
        </w:rPr>
        <w:t xml:space="preserve"> provides scalable and flexible IP-based display extension solutions with option of wired (Ethernet) and wireless (Wi-Fi) connectivity. It can transmit up to an extended 200m distance (wireless open area) and provides scalability and modular design that supports extenders, splitters and switches in various </w:t>
      </w:r>
      <w:proofErr w:type="spellStart"/>
      <w:r w:rsidRPr="005413A8">
        <w:rPr>
          <w:rFonts w:asciiTheme="minorHAnsi" w:hAnsiTheme="minorHAnsi" w:cstheme="minorHAnsi"/>
        </w:rPr>
        <w:t>ProAV</w:t>
      </w:r>
      <w:proofErr w:type="spellEnd"/>
      <w:r w:rsidRPr="005413A8">
        <w:rPr>
          <w:rFonts w:asciiTheme="minorHAnsi" w:hAnsiTheme="minorHAnsi" w:cstheme="minorHAnsi"/>
        </w:rPr>
        <w:t xml:space="preserve"> deployments. Using a unique, in-house designed </w:t>
      </w:r>
      <w:proofErr w:type="spellStart"/>
      <w:r w:rsidRPr="005413A8">
        <w:rPr>
          <w:rFonts w:asciiTheme="minorHAnsi" w:hAnsiTheme="minorHAnsi" w:cstheme="minorHAnsi"/>
        </w:rPr>
        <w:t>SoC</w:t>
      </w:r>
      <w:proofErr w:type="spellEnd"/>
      <w:r w:rsidRPr="005413A8">
        <w:rPr>
          <w:rFonts w:asciiTheme="minorHAnsi" w:hAnsiTheme="minorHAnsi" w:cstheme="minorHAnsi"/>
        </w:rPr>
        <w:t xml:space="preserve">, the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w:t>
      </w:r>
      <w:proofErr w:type="spellStart"/>
      <w:r w:rsidRPr="005413A8">
        <w:rPr>
          <w:rFonts w:asciiTheme="minorHAnsi" w:hAnsiTheme="minorHAnsi" w:cstheme="minorHAnsi"/>
        </w:rPr>
        <w:t>ProAV</w:t>
      </w:r>
      <w:proofErr w:type="spellEnd"/>
      <w:r w:rsidRPr="005413A8">
        <w:rPr>
          <w:rFonts w:asciiTheme="minorHAnsi" w:hAnsiTheme="minorHAnsi" w:cstheme="minorHAnsi"/>
        </w:rPr>
        <w:t xml:space="preserve"> goes beyond others to integrate video, audio and interface signals over IP-based connections. A centralized management system (CMS) is available allowing all connected devices to be remotely controlled, while a built-in KVM feature means users now don’t require an additional adapter.</w:t>
      </w:r>
      <w:r w:rsidRPr="005413A8">
        <w:rPr>
          <w:rFonts w:asciiTheme="minorHAnsi" w:hAnsiTheme="minorHAnsi" w:cstheme="minorHAnsi"/>
        </w:rPr>
        <w:br/>
      </w:r>
      <w:r w:rsidRPr="005413A8">
        <w:rPr>
          <w:rFonts w:asciiTheme="minorHAnsi" w:hAnsiTheme="minorHAnsi" w:cstheme="minorHAnsi"/>
        </w:rPr>
        <w:br/>
        <w:t xml:space="preserve">Learn more about the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w:t>
      </w:r>
      <w:proofErr w:type="spellStart"/>
      <w:r w:rsidRPr="005413A8">
        <w:rPr>
          <w:rFonts w:asciiTheme="minorHAnsi" w:hAnsiTheme="minorHAnsi" w:cstheme="minorHAnsi"/>
        </w:rPr>
        <w:t>ProAV</w:t>
      </w:r>
      <w:proofErr w:type="spellEnd"/>
      <w:r w:rsidRPr="005413A8">
        <w:rPr>
          <w:rFonts w:asciiTheme="minorHAnsi" w:hAnsiTheme="minorHAnsi" w:cstheme="minorHAnsi"/>
        </w:rPr>
        <w:t xml:space="preserve">: </w:t>
      </w:r>
      <w:hyperlink r:id="rId7" w:tgtFrame="_blank" w:history="1">
        <w:r w:rsidRPr="005413A8">
          <w:rPr>
            <w:rStyle w:val="a3"/>
            <w:rFonts w:asciiTheme="minorHAnsi" w:hAnsiTheme="minorHAnsi" w:cstheme="minorHAnsi"/>
          </w:rPr>
          <w:t>https://ezcast-pro.com/ezcast-proav/</w:t>
        </w:r>
      </w:hyperlink>
      <w:r w:rsidRPr="005413A8">
        <w:rPr>
          <w:rFonts w:asciiTheme="minorHAnsi" w:hAnsiTheme="minorHAnsi" w:cstheme="minorHAnsi"/>
        </w:rPr>
        <w:t xml:space="preserve"> </w:t>
      </w:r>
    </w:p>
    <w:p w:rsidR="00A454BA" w:rsidRPr="005413A8" w:rsidRDefault="0081582B">
      <w:pPr>
        <w:pStyle w:val="3"/>
        <w:spacing w:before="0" w:beforeAutospacing="0" w:after="0" w:afterAutospacing="0"/>
        <w:rPr>
          <w:rFonts w:asciiTheme="minorHAnsi" w:hAnsiTheme="minorHAnsi" w:cstheme="minorHAnsi"/>
        </w:rPr>
      </w:pPr>
      <w:proofErr w:type="spellStart"/>
      <w:r w:rsidRPr="005413A8">
        <w:rPr>
          <w:rFonts w:asciiTheme="minorHAnsi" w:hAnsiTheme="minorHAnsi" w:cstheme="minorHAnsi"/>
        </w:rPr>
        <w:lastRenderedPageBreak/>
        <w:t>EZCast</w:t>
      </w:r>
      <w:proofErr w:type="spellEnd"/>
      <w:r w:rsidRPr="005413A8">
        <w:rPr>
          <w:rFonts w:asciiTheme="minorHAnsi" w:hAnsiTheme="minorHAnsi" w:cstheme="minorHAnsi"/>
        </w:rPr>
        <w:t xml:space="preserve"> Pro series</w:t>
      </w:r>
    </w:p>
    <w:p w:rsidR="00A454BA" w:rsidRPr="005413A8" w:rsidRDefault="0081582B">
      <w:pPr>
        <w:spacing w:after="240"/>
        <w:rPr>
          <w:rFonts w:asciiTheme="minorHAnsi" w:hAnsiTheme="minorHAnsi" w:cstheme="minorHAnsi"/>
        </w:rPr>
      </w:pPr>
      <w:r w:rsidRPr="005413A8">
        <w:rPr>
          <w:rFonts w:asciiTheme="minorHAnsi" w:hAnsiTheme="minorHAnsi" w:cstheme="minorHAnsi"/>
        </w:rPr>
        <w:t xml:space="preserve">Designed for easy and reliable wireless broadcasting in education environments and student collaboration scenarios, the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series supports real-time note-taking where students can interact with the presentation in real-time. It allows 1-to-many multi-casting and up to four-way split-screen via Google Cast, </w:t>
      </w:r>
      <w:proofErr w:type="spellStart"/>
      <w:r w:rsidRPr="005413A8">
        <w:rPr>
          <w:rFonts w:asciiTheme="minorHAnsi" w:hAnsiTheme="minorHAnsi" w:cstheme="minorHAnsi"/>
        </w:rPr>
        <w:t>AirPlay</w:t>
      </w:r>
      <w:proofErr w:type="spellEnd"/>
      <w:r w:rsidRPr="005413A8">
        <w:rPr>
          <w:rFonts w:asciiTheme="minorHAnsi" w:hAnsiTheme="minorHAnsi" w:cstheme="minorHAnsi"/>
        </w:rPr>
        <w:t xml:space="preserve"> and newly added </w:t>
      </w:r>
      <w:proofErr w:type="spellStart"/>
      <w:r w:rsidRPr="005413A8">
        <w:rPr>
          <w:rFonts w:asciiTheme="minorHAnsi" w:hAnsiTheme="minorHAnsi" w:cstheme="minorHAnsi"/>
        </w:rPr>
        <w:t>Miracast</w:t>
      </w:r>
      <w:proofErr w:type="spellEnd"/>
      <w:r w:rsidRPr="005413A8">
        <w:rPr>
          <w:rFonts w:asciiTheme="minorHAnsi" w:hAnsiTheme="minorHAnsi" w:cstheme="minorHAnsi"/>
        </w:rPr>
        <w:t xml:space="preserve">. The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includes Pro Dongle II and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Box II.</w:t>
      </w:r>
      <w:r w:rsidRPr="005413A8">
        <w:rPr>
          <w:rFonts w:asciiTheme="minorHAnsi" w:hAnsiTheme="minorHAnsi" w:cstheme="minorHAnsi"/>
        </w:rPr>
        <w:br/>
      </w:r>
      <w:r w:rsidRPr="005413A8">
        <w:rPr>
          <w:rFonts w:asciiTheme="minorHAnsi" w:hAnsiTheme="minorHAnsi" w:cstheme="minorHAnsi"/>
        </w:rPr>
        <w:br/>
        <w:t xml:space="preserve">Learn more about the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series: </w:t>
      </w:r>
      <w:hyperlink r:id="rId8" w:tgtFrame="_blank" w:history="1">
        <w:r w:rsidRPr="005413A8">
          <w:rPr>
            <w:rStyle w:val="a3"/>
            <w:rFonts w:asciiTheme="minorHAnsi" w:hAnsiTheme="minorHAnsi" w:cstheme="minorHAnsi"/>
          </w:rPr>
          <w:t>https://ezcast-pro.com/ezcast-pro/</w:t>
        </w:r>
      </w:hyperlink>
      <w:r w:rsidRPr="005413A8">
        <w:rPr>
          <w:rFonts w:asciiTheme="minorHAnsi" w:hAnsiTheme="minorHAnsi" w:cstheme="minorHAnsi"/>
        </w:rPr>
        <w:t xml:space="preserve"> </w:t>
      </w:r>
      <w:r w:rsidRPr="005413A8">
        <w:rPr>
          <w:rFonts w:asciiTheme="minorHAnsi" w:hAnsiTheme="minorHAnsi" w:cstheme="minorHAnsi"/>
        </w:rPr>
        <w:br/>
      </w:r>
      <w:r w:rsidRPr="005413A8">
        <w:rPr>
          <w:rFonts w:asciiTheme="minorHAnsi" w:hAnsiTheme="minorHAnsi" w:cstheme="minorHAnsi"/>
        </w:rPr>
        <w:br/>
      </w:r>
      <w:proofErr w:type="gramStart"/>
      <w:r w:rsidRPr="005413A8">
        <w:rPr>
          <w:rFonts w:asciiTheme="minorHAnsi" w:hAnsiTheme="minorHAnsi" w:cstheme="minorHAnsi"/>
        </w:rPr>
        <w:t>If</w:t>
      </w:r>
      <w:proofErr w:type="gramEnd"/>
      <w:r w:rsidRPr="005413A8">
        <w:rPr>
          <w:rFonts w:asciiTheme="minorHAnsi" w:hAnsiTheme="minorHAnsi" w:cstheme="minorHAnsi"/>
        </w:rPr>
        <w:t xml:space="preserve"> media would like to visit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booth at ISE, please register at </w:t>
      </w:r>
      <w:hyperlink r:id="rId9" w:tgtFrame="_blank" w:history="1">
        <w:r w:rsidRPr="005413A8">
          <w:rPr>
            <w:rStyle w:val="a3"/>
            <w:rFonts w:asciiTheme="minorHAnsi" w:hAnsiTheme="minorHAnsi" w:cstheme="minorHAnsi"/>
          </w:rPr>
          <w:t>https://ezcast-pro.com/contact-us/</w:t>
        </w:r>
      </w:hyperlink>
    </w:p>
    <w:p w:rsidR="00A454BA" w:rsidRPr="005413A8" w:rsidRDefault="0081582B">
      <w:pPr>
        <w:pStyle w:val="3"/>
        <w:spacing w:before="0" w:beforeAutospacing="0" w:after="0" w:afterAutospacing="0"/>
        <w:rPr>
          <w:rFonts w:asciiTheme="minorHAnsi" w:hAnsiTheme="minorHAnsi" w:cstheme="minorHAnsi"/>
        </w:rPr>
      </w:pPr>
      <w:r w:rsidRPr="005413A8">
        <w:rPr>
          <w:rFonts w:asciiTheme="minorHAnsi" w:hAnsiTheme="minorHAnsi" w:cstheme="minorHAnsi"/>
        </w:rPr>
        <w:t xml:space="preserve">About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w:t>
      </w:r>
    </w:p>
    <w:p w:rsidR="0081582B" w:rsidRPr="005413A8" w:rsidRDefault="0081582B">
      <w:pPr>
        <w:rPr>
          <w:rFonts w:asciiTheme="minorHAnsi" w:hAnsiTheme="minorHAnsi" w:cstheme="minorHAnsi"/>
        </w:rPr>
      </w:pP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is owned by Actions Microelectronics Co., Ltd. Located in New Taipei City, Taiwan, it creates audio-visual and digital wireless accessories with integral support for Cloud services, for professional, education and business-focused markets. From chip to product through its in-house design efforts,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aims to assist moving the world from wired to wireless, empowering people with freedom of mobility and to use digital products without restriction. To date, more than 10 million users around the world use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solutions, and our technologies and solutions are trusted by dozens of major brands worldwide. Learn more about </w:t>
      </w:r>
      <w:proofErr w:type="spellStart"/>
      <w:r w:rsidRPr="005413A8">
        <w:rPr>
          <w:rFonts w:asciiTheme="minorHAnsi" w:hAnsiTheme="minorHAnsi" w:cstheme="minorHAnsi"/>
        </w:rPr>
        <w:t>EZCast</w:t>
      </w:r>
      <w:proofErr w:type="spellEnd"/>
      <w:r w:rsidRPr="005413A8">
        <w:rPr>
          <w:rFonts w:asciiTheme="minorHAnsi" w:hAnsiTheme="minorHAnsi" w:cstheme="minorHAnsi"/>
        </w:rPr>
        <w:t xml:space="preserve"> Pro at </w:t>
      </w:r>
      <w:hyperlink r:id="rId10" w:tgtFrame="_blank" w:history="1">
        <w:r w:rsidRPr="005413A8">
          <w:rPr>
            <w:rStyle w:val="a3"/>
            <w:rFonts w:asciiTheme="minorHAnsi" w:hAnsiTheme="minorHAnsi" w:cstheme="minorHAnsi"/>
          </w:rPr>
          <w:t>www.ezcast-pro.com</w:t>
        </w:r>
      </w:hyperlink>
      <w:r w:rsidRPr="005413A8">
        <w:rPr>
          <w:rFonts w:asciiTheme="minorHAnsi" w:hAnsiTheme="minorHAnsi" w:cstheme="minorHAnsi"/>
        </w:rPr>
        <w:t xml:space="preserve">. Reach us on YouTube: </w:t>
      </w:r>
      <w:hyperlink r:id="rId11" w:tgtFrame="_blank" w:history="1">
        <w:r w:rsidRPr="005413A8">
          <w:rPr>
            <w:rStyle w:val="a3"/>
            <w:rFonts w:asciiTheme="minorHAnsi" w:hAnsiTheme="minorHAnsi" w:cstheme="minorHAnsi"/>
          </w:rPr>
          <w:t>@EZCast Pro</w:t>
        </w:r>
      </w:hyperlink>
      <w:r w:rsidRPr="005413A8">
        <w:rPr>
          <w:rFonts w:asciiTheme="minorHAnsi" w:hAnsiTheme="minorHAnsi" w:cstheme="minorHAnsi"/>
        </w:rPr>
        <w:t xml:space="preserve"> or LinkedIn: </w:t>
      </w:r>
      <w:hyperlink r:id="rId12" w:tgtFrame="_blank" w:history="1">
        <w:r w:rsidRPr="005413A8">
          <w:rPr>
            <w:rStyle w:val="a3"/>
            <w:rFonts w:asciiTheme="minorHAnsi" w:hAnsiTheme="minorHAnsi" w:cstheme="minorHAnsi"/>
          </w:rPr>
          <w:t>@EZCast Pro</w:t>
        </w:r>
      </w:hyperlink>
      <w:r w:rsidRPr="005413A8">
        <w:rPr>
          <w:rFonts w:asciiTheme="minorHAnsi" w:hAnsiTheme="minorHAnsi" w:cstheme="minorHAnsi"/>
        </w:rPr>
        <w:t xml:space="preserve">. </w:t>
      </w:r>
    </w:p>
    <w:sectPr w:rsidR="0081582B" w:rsidRPr="005413A8" w:rsidSect="00A454B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A6B" w:rsidRDefault="00265A6B" w:rsidP="005413A8">
      <w:r>
        <w:separator/>
      </w:r>
    </w:p>
  </w:endnote>
  <w:endnote w:type="continuationSeparator" w:id="0">
    <w:p w:rsidR="00265A6B" w:rsidRDefault="00265A6B" w:rsidP="00541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A6B" w:rsidRDefault="00265A6B" w:rsidP="005413A8">
      <w:r>
        <w:separator/>
      </w:r>
    </w:p>
  </w:footnote>
  <w:footnote w:type="continuationSeparator" w:id="0">
    <w:p w:rsidR="00265A6B" w:rsidRDefault="00265A6B" w:rsidP="005413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5413A8"/>
    <w:rsid w:val="00265A6B"/>
    <w:rsid w:val="005413A8"/>
    <w:rsid w:val="0064471B"/>
    <w:rsid w:val="0081582B"/>
    <w:rsid w:val="00A454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BA"/>
    <w:rPr>
      <w:rFonts w:ascii="新細明體" w:eastAsia="新細明體" w:hAnsi="新細明體" w:cs="新細明體"/>
      <w:sz w:val="24"/>
      <w:szCs w:val="24"/>
    </w:rPr>
  </w:style>
  <w:style w:type="paragraph" w:styleId="1">
    <w:name w:val="heading 1"/>
    <w:basedOn w:val="a"/>
    <w:link w:val="10"/>
    <w:uiPriority w:val="9"/>
    <w:qFormat/>
    <w:rsid w:val="00A454B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454BA"/>
    <w:pPr>
      <w:spacing w:before="100" w:beforeAutospacing="1" w:after="100" w:afterAutospacing="1"/>
      <w:outlineLvl w:val="1"/>
    </w:pPr>
    <w:rPr>
      <w:b/>
      <w:bCs/>
      <w:sz w:val="36"/>
      <w:szCs w:val="36"/>
    </w:rPr>
  </w:style>
  <w:style w:type="paragraph" w:styleId="3">
    <w:name w:val="heading 3"/>
    <w:basedOn w:val="a"/>
    <w:link w:val="30"/>
    <w:uiPriority w:val="9"/>
    <w:qFormat/>
    <w:rsid w:val="00A454B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54B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A454B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A454BA"/>
    <w:rPr>
      <w:rFonts w:asciiTheme="majorHAnsi" w:eastAsiaTheme="majorEastAsia" w:hAnsiTheme="majorHAnsi" w:cstheme="majorBidi"/>
      <w:b/>
      <w:bCs/>
      <w:sz w:val="36"/>
      <w:szCs w:val="36"/>
    </w:rPr>
  </w:style>
  <w:style w:type="character" w:styleId="a3">
    <w:name w:val="Hyperlink"/>
    <w:basedOn w:val="a0"/>
    <w:uiPriority w:val="99"/>
    <w:semiHidden/>
    <w:unhideWhenUsed/>
    <w:rsid w:val="00A454BA"/>
    <w:rPr>
      <w:color w:val="0000FF"/>
      <w:u w:val="single"/>
    </w:rPr>
  </w:style>
  <w:style w:type="character" w:styleId="a4">
    <w:name w:val="FollowedHyperlink"/>
    <w:basedOn w:val="a0"/>
    <w:uiPriority w:val="99"/>
    <w:semiHidden/>
    <w:unhideWhenUsed/>
    <w:rsid w:val="00A454BA"/>
    <w:rPr>
      <w:color w:val="800080"/>
      <w:u w:val="single"/>
    </w:rPr>
  </w:style>
  <w:style w:type="paragraph" w:styleId="a5">
    <w:name w:val="header"/>
    <w:basedOn w:val="a"/>
    <w:link w:val="a6"/>
    <w:uiPriority w:val="99"/>
    <w:semiHidden/>
    <w:unhideWhenUsed/>
    <w:rsid w:val="005413A8"/>
    <w:pPr>
      <w:tabs>
        <w:tab w:val="center" w:pos="4153"/>
        <w:tab w:val="right" w:pos="8306"/>
      </w:tabs>
      <w:snapToGrid w:val="0"/>
    </w:pPr>
    <w:rPr>
      <w:sz w:val="20"/>
      <w:szCs w:val="20"/>
    </w:rPr>
  </w:style>
  <w:style w:type="character" w:customStyle="1" w:styleId="a6">
    <w:name w:val="頁首 字元"/>
    <w:basedOn w:val="a0"/>
    <w:link w:val="a5"/>
    <w:uiPriority w:val="99"/>
    <w:semiHidden/>
    <w:rsid w:val="005413A8"/>
    <w:rPr>
      <w:rFonts w:ascii="新細明體" w:eastAsia="新細明體" w:hAnsi="新細明體" w:cs="新細明體"/>
    </w:rPr>
  </w:style>
  <w:style w:type="paragraph" w:styleId="a7">
    <w:name w:val="footer"/>
    <w:basedOn w:val="a"/>
    <w:link w:val="a8"/>
    <w:uiPriority w:val="99"/>
    <w:semiHidden/>
    <w:unhideWhenUsed/>
    <w:rsid w:val="005413A8"/>
    <w:pPr>
      <w:tabs>
        <w:tab w:val="center" w:pos="4153"/>
        <w:tab w:val="right" w:pos="8306"/>
      </w:tabs>
      <w:snapToGrid w:val="0"/>
    </w:pPr>
    <w:rPr>
      <w:sz w:val="20"/>
      <w:szCs w:val="20"/>
    </w:rPr>
  </w:style>
  <w:style w:type="character" w:customStyle="1" w:styleId="a8">
    <w:name w:val="頁尾 字元"/>
    <w:basedOn w:val="a0"/>
    <w:link w:val="a7"/>
    <w:uiPriority w:val="99"/>
    <w:semiHidden/>
    <w:rsid w:val="005413A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cast-pro.com/ezcast-pr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zcast-pro.com/ezcast-proav/" TargetMode="External"/><Relationship Id="rId12" Type="http://schemas.openxmlformats.org/officeDocument/2006/relationships/hyperlink" Target="https://www.linkedin.com/company/ezcast-profession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zcast-pro.com/quattropod-series-backup/" TargetMode="External"/><Relationship Id="rId11" Type="http://schemas.openxmlformats.org/officeDocument/2006/relationships/hyperlink" Target="https://www.youtube.com/c/EZCastPro/videos" TargetMode="External"/><Relationship Id="rId5" Type="http://schemas.openxmlformats.org/officeDocument/2006/relationships/endnotes" Target="endnotes.xml"/><Relationship Id="rId10" Type="http://schemas.openxmlformats.org/officeDocument/2006/relationships/hyperlink" Target="https://www.ezcast-pro.com" TargetMode="External"/><Relationship Id="rId4" Type="http://schemas.openxmlformats.org/officeDocument/2006/relationships/footnotes" Target="footnotes.xml"/><Relationship Id="rId9" Type="http://schemas.openxmlformats.org/officeDocument/2006/relationships/hyperlink" Target="https://ezcast-pro.com/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Pro Demos New QuattroPod T02+, Wireless and Multicasting Display Devices at ISE 2022</dc:title>
  <dc:creator>Sandy</dc:creator>
  <cp:lastModifiedBy>Sandy</cp:lastModifiedBy>
  <cp:revision>3</cp:revision>
  <dcterms:created xsi:type="dcterms:W3CDTF">2022-05-03T03:40:00Z</dcterms:created>
  <dcterms:modified xsi:type="dcterms:W3CDTF">2022-05-04T01:42:00Z</dcterms:modified>
</cp:coreProperties>
</file>