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62E22" w:rsidRDefault="00B564C3">
      <w:pPr>
        <w:rPr>
          <w:rFonts w:asciiTheme="minorHAnsi" w:hAnsiTheme="minorHAnsi" w:cstheme="minorHAnsi"/>
          <w:lang/>
        </w:rPr>
      </w:pPr>
      <w:r w:rsidRPr="00162E22">
        <w:rPr>
          <w:rFonts w:asciiTheme="minorHAnsi" w:hAnsiTheme="minorHAnsi" w:cstheme="minorHAnsi"/>
          <w:lang/>
        </w:rPr>
        <w:t>FOR IMMEDIATE RELEASE</w:t>
      </w:r>
    </w:p>
    <w:p w:rsidR="00000000" w:rsidRPr="00162E22" w:rsidRDefault="00B564C3">
      <w:pPr>
        <w:pStyle w:val="1"/>
        <w:spacing w:before="0" w:beforeAutospacing="0" w:after="0" w:afterAutospacing="0"/>
        <w:jc w:val="center"/>
        <w:rPr>
          <w:rFonts w:asciiTheme="minorHAnsi" w:hAnsiTheme="minorHAnsi" w:cstheme="minorHAnsi"/>
          <w:lang/>
        </w:rPr>
      </w:pPr>
      <w:r w:rsidRPr="00162E22">
        <w:rPr>
          <w:rFonts w:asciiTheme="minorHAnsi" w:hAnsiTheme="minorHAnsi" w:cstheme="minorHAnsi"/>
          <w:lang/>
        </w:rPr>
        <w:t>FSP annonce les alimentations Twins PRO de 500, 700 &amp; 900W</w:t>
      </w:r>
    </w:p>
    <w:p w:rsidR="00000000" w:rsidRPr="00162E22" w:rsidRDefault="00B564C3">
      <w:pPr>
        <w:pStyle w:val="2"/>
        <w:jc w:val="center"/>
        <w:rPr>
          <w:rFonts w:asciiTheme="minorHAnsi" w:hAnsiTheme="minorHAnsi" w:cstheme="minorHAnsi"/>
          <w:i/>
          <w:iCs/>
          <w:lang/>
        </w:rPr>
      </w:pPr>
      <w:r w:rsidRPr="00162E22">
        <w:rPr>
          <w:rFonts w:asciiTheme="minorHAnsi" w:hAnsiTheme="minorHAnsi" w:cstheme="minorHAnsi"/>
          <w:i/>
          <w:iCs/>
          <w:lang/>
        </w:rPr>
        <w:t xml:space="preserve">La série Twins PRO, conçue pour les châssis standards ATX ou PS2, </w:t>
      </w:r>
      <w:proofErr w:type="gramStart"/>
      <w:r w:rsidRPr="00162E22">
        <w:rPr>
          <w:rFonts w:asciiTheme="minorHAnsi" w:hAnsiTheme="minorHAnsi" w:cstheme="minorHAnsi"/>
          <w:i/>
          <w:iCs/>
          <w:lang/>
        </w:rPr>
        <w:t>est</w:t>
      </w:r>
      <w:proofErr w:type="gramEnd"/>
      <w:r w:rsidRPr="00162E22">
        <w:rPr>
          <w:rFonts w:asciiTheme="minorHAnsi" w:hAnsiTheme="minorHAnsi" w:cstheme="minorHAnsi"/>
          <w:i/>
          <w:iCs/>
          <w:lang/>
        </w:rPr>
        <w:t xml:space="preserve"> l’alimentation idéale pour les systèmes de serveur cloud domestique et les systèmes de </w:t>
      </w:r>
      <w:r w:rsidRPr="00162E22">
        <w:rPr>
          <w:rFonts w:asciiTheme="minorHAnsi" w:hAnsiTheme="minorHAnsi" w:cstheme="minorHAnsi"/>
          <w:i/>
          <w:iCs/>
          <w:lang/>
        </w:rPr>
        <w:t>serveur Web/messagerie de PME</w:t>
      </w:r>
    </w:p>
    <w:p w:rsidR="00000000" w:rsidRPr="00162E22" w:rsidRDefault="00B564C3">
      <w:pPr>
        <w:spacing w:after="240"/>
        <w:rPr>
          <w:rFonts w:asciiTheme="minorHAnsi" w:hAnsiTheme="minorHAnsi" w:cstheme="minorHAnsi"/>
          <w:lang/>
        </w:rPr>
      </w:pPr>
      <w:r w:rsidRPr="00162E22">
        <w:rPr>
          <w:rFonts w:asciiTheme="minorHAnsi" w:hAnsiTheme="minorHAnsi" w:cstheme="minorHAnsi"/>
          <w:b/>
          <w:bCs/>
          <w:i/>
          <w:iCs/>
          <w:lang/>
        </w:rPr>
        <w:t xml:space="preserve">Taoyuan, Taïwan, le 17 mars 2021 - </w:t>
      </w:r>
      <w:r w:rsidRPr="00162E22">
        <w:rPr>
          <w:rFonts w:asciiTheme="minorHAnsi" w:hAnsiTheme="minorHAnsi" w:cstheme="minorHAnsi"/>
          <w:lang/>
        </w:rPr>
        <w:t>FSP, le leader mondial d’alimentations, a annoncé le lancement de sa nouvelle série d’alimentations Twins PRO, disponible en trois puissances : 500, 700 et 900W.</w:t>
      </w:r>
      <w:r w:rsidRPr="00162E22">
        <w:rPr>
          <w:rFonts w:asciiTheme="minorHAnsi" w:hAnsiTheme="minorHAnsi" w:cstheme="minorHAnsi"/>
          <w:lang/>
        </w:rPr>
        <w:br/>
      </w:r>
      <w:r w:rsidRPr="00162E22">
        <w:rPr>
          <w:rFonts w:asciiTheme="minorHAnsi" w:hAnsiTheme="minorHAnsi" w:cstheme="minorHAnsi"/>
          <w:lang/>
        </w:rPr>
        <w:br/>
        <w:t xml:space="preserve">Le Twins PRO </w:t>
      </w:r>
      <w:proofErr w:type="gramStart"/>
      <w:r w:rsidRPr="00162E22">
        <w:rPr>
          <w:rFonts w:asciiTheme="minorHAnsi" w:hAnsiTheme="minorHAnsi" w:cstheme="minorHAnsi"/>
          <w:lang/>
        </w:rPr>
        <w:t>est</w:t>
      </w:r>
      <w:proofErr w:type="gramEnd"/>
      <w:r w:rsidRPr="00162E22">
        <w:rPr>
          <w:rFonts w:asciiTheme="minorHAnsi" w:hAnsiTheme="minorHAnsi" w:cstheme="minorHAnsi"/>
          <w:lang/>
        </w:rPr>
        <w:t xml:space="preserve"> une aliment</w:t>
      </w:r>
      <w:r w:rsidRPr="00162E22">
        <w:rPr>
          <w:rFonts w:asciiTheme="minorHAnsi" w:hAnsiTheme="minorHAnsi" w:cstheme="minorHAnsi"/>
          <w:lang/>
        </w:rPr>
        <w:t>ation redondante principalement conçue pour les châssis standards ATX ou PS2. La série Twins PRO ne nécessite pas de support frontal, ce qui en fait une alimentation idéale pour les systèmes de serveur cloud domestique et les systèmes de serveur Web/messag</w:t>
      </w:r>
      <w:r w:rsidRPr="00162E22">
        <w:rPr>
          <w:rFonts w:asciiTheme="minorHAnsi" w:hAnsiTheme="minorHAnsi" w:cstheme="minorHAnsi"/>
          <w:lang/>
        </w:rPr>
        <w:t>erie, ainsi que pour les Petites et Moyennes Entreprises (PME).</w:t>
      </w:r>
    </w:p>
    <w:p w:rsidR="00000000" w:rsidRPr="00162E22" w:rsidRDefault="00B564C3">
      <w:pPr>
        <w:pStyle w:val="3"/>
        <w:spacing w:before="0" w:beforeAutospacing="0" w:after="0" w:afterAutospacing="0"/>
        <w:rPr>
          <w:rFonts w:asciiTheme="minorHAnsi" w:hAnsiTheme="minorHAnsi" w:cstheme="minorHAnsi"/>
          <w:lang/>
        </w:rPr>
      </w:pPr>
      <w:r w:rsidRPr="00162E22">
        <w:rPr>
          <w:rFonts w:asciiTheme="minorHAnsi" w:hAnsiTheme="minorHAnsi" w:cstheme="minorHAnsi"/>
          <w:lang/>
        </w:rPr>
        <w:t>Alimentation électrique stable avec protection complète</w:t>
      </w:r>
    </w:p>
    <w:p w:rsidR="00000000" w:rsidRPr="00162E22" w:rsidRDefault="00B564C3">
      <w:pPr>
        <w:spacing w:after="240"/>
        <w:rPr>
          <w:rFonts w:asciiTheme="minorHAnsi" w:hAnsiTheme="minorHAnsi" w:cstheme="minorHAnsi"/>
          <w:lang/>
        </w:rPr>
      </w:pPr>
      <w:r w:rsidRPr="00162E22">
        <w:rPr>
          <w:rFonts w:asciiTheme="minorHAnsi" w:hAnsiTheme="minorHAnsi" w:cstheme="minorHAnsi"/>
          <w:lang/>
        </w:rPr>
        <w:t xml:space="preserve">Grâce à la protection contre les surintensités, les courts-circuits, les surtensions </w:t>
      </w:r>
      <w:proofErr w:type="gramStart"/>
      <w:r w:rsidRPr="00162E22">
        <w:rPr>
          <w:rFonts w:asciiTheme="minorHAnsi" w:hAnsiTheme="minorHAnsi" w:cstheme="minorHAnsi"/>
          <w:lang/>
        </w:rPr>
        <w:t>et</w:t>
      </w:r>
      <w:proofErr w:type="gramEnd"/>
      <w:r w:rsidRPr="00162E22">
        <w:rPr>
          <w:rFonts w:asciiTheme="minorHAnsi" w:hAnsiTheme="minorHAnsi" w:cstheme="minorHAnsi"/>
          <w:lang/>
        </w:rPr>
        <w:t xml:space="preserve"> les pannes de ventilateur, les blocs d'aliment</w:t>
      </w:r>
      <w:r w:rsidRPr="00162E22">
        <w:rPr>
          <w:rFonts w:asciiTheme="minorHAnsi" w:hAnsiTheme="minorHAnsi" w:cstheme="minorHAnsi"/>
          <w:lang/>
        </w:rPr>
        <w:t>ation de la série Twins PRO maintiennent une alimentation stable à tout moment.</w:t>
      </w:r>
      <w:r w:rsidRPr="00162E22">
        <w:rPr>
          <w:rFonts w:asciiTheme="minorHAnsi" w:hAnsiTheme="minorHAnsi" w:cstheme="minorHAnsi"/>
          <w:lang/>
        </w:rPr>
        <w:br/>
      </w:r>
      <w:r w:rsidRPr="00162E22">
        <w:rPr>
          <w:rFonts w:asciiTheme="minorHAnsi" w:hAnsiTheme="minorHAnsi" w:cstheme="minorHAnsi"/>
          <w:lang/>
        </w:rPr>
        <w:br/>
        <w:t xml:space="preserve">Les deux modules de la série Twins PRO se partagent la charge pour une efficacité optimale en fonctionnement normal. </w:t>
      </w:r>
      <w:proofErr w:type="gramStart"/>
      <w:r w:rsidRPr="00162E22">
        <w:rPr>
          <w:rFonts w:asciiTheme="minorHAnsi" w:hAnsiTheme="minorHAnsi" w:cstheme="minorHAnsi"/>
          <w:lang/>
        </w:rPr>
        <w:t>Cela signifie que les utilisateurs n'ont pas à s'inquiéter</w:t>
      </w:r>
      <w:r w:rsidRPr="00162E22">
        <w:rPr>
          <w:rFonts w:asciiTheme="minorHAnsi" w:hAnsiTheme="minorHAnsi" w:cstheme="minorHAnsi"/>
          <w:lang/>
        </w:rPr>
        <w:t xml:space="preserve"> de la mise hors tension inopinée de leurs serveurs ou de leurs PC.</w:t>
      </w:r>
      <w:proofErr w:type="gramEnd"/>
      <w:r w:rsidRPr="00162E22">
        <w:rPr>
          <w:rFonts w:asciiTheme="minorHAnsi" w:hAnsiTheme="minorHAnsi" w:cstheme="minorHAnsi"/>
          <w:lang/>
        </w:rPr>
        <w:t xml:space="preserve"> Si </w:t>
      </w:r>
      <w:proofErr w:type="gramStart"/>
      <w:r w:rsidRPr="00162E22">
        <w:rPr>
          <w:rFonts w:asciiTheme="minorHAnsi" w:hAnsiTheme="minorHAnsi" w:cstheme="minorHAnsi"/>
          <w:lang/>
        </w:rPr>
        <w:t>un</w:t>
      </w:r>
      <w:proofErr w:type="gramEnd"/>
      <w:r w:rsidRPr="00162E22">
        <w:rPr>
          <w:rFonts w:asciiTheme="minorHAnsi" w:hAnsiTheme="minorHAnsi" w:cstheme="minorHAnsi"/>
          <w:lang/>
        </w:rPr>
        <w:t xml:space="preserve"> module tombe en panne, le second module fonctionnel prendra immédiatement le relais sans coupure afin de garantir la continuité électrique et la stabilité du système.</w:t>
      </w:r>
    </w:p>
    <w:p w:rsidR="00000000" w:rsidRPr="00162E22" w:rsidRDefault="00B564C3">
      <w:pPr>
        <w:pStyle w:val="3"/>
        <w:spacing w:before="0" w:beforeAutospacing="0" w:after="0" w:afterAutospacing="0"/>
        <w:rPr>
          <w:rFonts w:asciiTheme="minorHAnsi" w:hAnsiTheme="minorHAnsi" w:cstheme="minorHAnsi"/>
          <w:lang/>
        </w:rPr>
      </w:pPr>
      <w:r w:rsidRPr="00162E22">
        <w:rPr>
          <w:rFonts w:asciiTheme="minorHAnsi" w:hAnsiTheme="minorHAnsi" w:cstheme="minorHAnsi"/>
          <w:lang/>
        </w:rPr>
        <w:t>Modules hot-s</w:t>
      </w:r>
      <w:r w:rsidRPr="00162E22">
        <w:rPr>
          <w:rFonts w:asciiTheme="minorHAnsi" w:hAnsiTheme="minorHAnsi" w:cstheme="minorHAnsi"/>
          <w:lang/>
        </w:rPr>
        <w:t>wap (remplaçables à chaud) intégrés</w:t>
      </w:r>
    </w:p>
    <w:p w:rsidR="00000000" w:rsidRPr="00162E22" w:rsidRDefault="00B564C3">
      <w:pPr>
        <w:spacing w:after="240"/>
        <w:rPr>
          <w:rFonts w:asciiTheme="minorHAnsi" w:hAnsiTheme="minorHAnsi" w:cstheme="minorHAnsi"/>
          <w:lang/>
        </w:rPr>
      </w:pPr>
      <w:r w:rsidRPr="00162E22">
        <w:rPr>
          <w:rFonts w:asciiTheme="minorHAnsi" w:hAnsiTheme="minorHAnsi" w:cstheme="minorHAnsi"/>
          <w:lang/>
        </w:rPr>
        <w:t xml:space="preserve">Chaque bloc d'alimentation de la série Twins PRO comprend des modules hot-swap intégrés pour </w:t>
      </w:r>
      <w:proofErr w:type="gramStart"/>
      <w:r w:rsidRPr="00162E22">
        <w:rPr>
          <w:rFonts w:asciiTheme="minorHAnsi" w:hAnsiTheme="minorHAnsi" w:cstheme="minorHAnsi"/>
          <w:lang/>
        </w:rPr>
        <w:t>un</w:t>
      </w:r>
      <w:proofErr w:type="gramEnd"/>
      <w:r w:rsidRPr="00162E22">
        <w:rPr>
          <w:rFonts w:asciiTheme="minorHAnsi" w:hAnsiTheme="minorHAnsi" w:cstheme="minorHAnsi"/>
          <w:lang/>
        </w:rPr>
        <w:t xml:space="preserve"> remplacement rapide et facile des composants défectueux sans avoir à mettre hors tension les systèmes ou périphériques.</w:t>
      </w:r>
    </w:p>
    <w:p w:rsidR="00000000" w:rsidRPr="00162E22" w:rsidRDefault="00B564C3">
      <w:pPr>
        <w:pStyle w:val="3"/>
        <w:spacing w:before="0" w:beforeAutospacing="0" w:after="0" w:afterAutospacing="0"/>
        <w:rPr>
          <w:rFonts w:asciiTheme="minorHAnsi" w:hAnsiTheme="minorHAnsi" w:cstheme="minorHAnsi"/>
          <w:lang/>
        </w:rPr>
      </w:pPr>
      <w:r w:rsidRPr="00162E22">
        <w:rPr>
          <w:rFonts w:asciiTheme="minorHAnsi" w:hAnsiTheme="minorHAnsi" w:cstheme="minorHAnsi"/>
          <w:lang/>
        </w:rPr>
        <w:t>Au</w:t>
      </w:r>
      <w:r w:rsidRPr="00162E22">
        <w:rPr>
          <w:rFonts w:asciiTheme="minorHAnsi" w:hAnsiTheme="minorHAnsi" w:cstheme="minorHAnsi"/>
          <w:lang/>
        </w:rPr>
        <w:t>cune interruption avec le dispositif de verrouillage du cordon d'alimentation</w:t>
      </w:r>
    </w:p>
    <w:p w:rsidR="00000000" w:rsidRPr="00162E22" w:rsidRDefault="00B564C3">
      <w:pPr>
        <w:spacing w:after="240"/>
        <w:rPr>
          <w:rFonts w:asciiTheme="minorHAnsi" w:hAnsiTheme="minorHAnsi" w:cstheme="minorHAnsi"/>
          <w:lang/>
        </w:rPr>
      </w:pPr>
      <w:r w:rsidRPr="00162E22">
        <w:rPr>
          <w:rFonts w:asciiTheme="minorHAnsi" w:hAnsiTheme="minorHAnsi" w:cstheme="minorHAnsi"/>
          <w:lang/>
        </w:rPr>
        <w:t xml:space="preserve">Les </w:t>
      </w:r>
      <w:proofErr w:type="gramStart"/>
      <w:r w:rsidRPr="00162E22">
        <w:rPr>
          <w:rFonts w:asciiTheme="minorHAnsi" w:hAnsiTheme="minorHAnsi" w:cstheme="minorHAnsi"/>
          <w:lang/>
        </w:rPr>
        <w:t>blocs</w:t>
      </w:r>
      <w:proofErr w:type="gramEnd"/>
      <w:r w:rsidRPr="00162E22">
        <w:rPr>
          <w:rFonts w:asciiTheme="minorHAnsi" w:hAnsiTheme="minorHAnsi" w:cstheme="minorHAnsi"/>
          <w:lang/>
        </w:rPr>
        <w:t xml:space="preserve"> d'alimentation de la série Twins PRO sont dotés d'un dispositif de verrouillage du cordon d'alimentation qui maintient le cordon en place, le préservant de toute déconn</w:t>
      </w:r>
      <w:r w:rsidRPr="00162E22">
        <w:rPr>
          <w:rFonts w:asciiTheme="minorHAnsi" w:hAnsiTheme="minorHAnsi" w:cstheme="minorHAnsi"/>
          <w:lang/>
        </w:rPr>
        <w:t xml:space="preserve">exion accidentelle. Cela permet d'assurer </w:t>
      </w:r>
      <w:proofErr w:type="gramStart"/>
      <w:r w:rsidRPr="00162E22">
        <w:rPr>
          <w:rFonts w:asciiTheme="minorHAnsi" w:hAnsiTheme="minorHAnsi" w:cstheme="minorHAnsi"/>
          <w:lang/>
        </w:rPr>
        <w:t>un</w:t>
      </w:r>
      <w:proofErr w:type="gramEnd"/>
      <w:r w:rsidRPr="00162E22">
        <w:rPr>
          <w:rFonts w:asciiTheme="minorHAnsi" w:hAnsiTheme="minorHAnsi" w:cstheme="minorHAnsi"/>
          <w:lang/>
        </w:rPr>
        <w:t xml:space="preserve"> fonctionnement stable sans aucune interruption du système.</w:t>
      </w:r>
    </w:p>
    <w:p w:rsidR="00000000" w:rsidRPr="00162E22" w:rsidRDefault="00B564C3">
      <w:pPr>
        <w:pStyle w:val="3"/>
        <w:spacing w:before="0" w:beforeAutospacing="0" w:after="0" w:afterAutospacing="0"/>
        <w:rPr>
          <w:rFonts w:asciiTheme="minorHAnsi" w:hAnsiTheme="minorHAnsi" w:cstheme="minorHAnsi"/>
          <w:lang/>
        </w:rPr>
      </w:pPr>
      <w:r w:rsidRPr="00162E22">
        <w:rPr>
          <w:rFonts w:asciiTheme="minorHAnsi" w:hAnsiTheme="minorHAnsi" w:cstheme="minorHAnsi"/>
          <w:lang/>
        </w:rPr>
        <w:t>Logiciel FSP Guardian</w:t>
      </w:r>
    </w:p>
    <w:p w:rsidR="00000000" w:rsidRPr="00162E22" w:rsidRDefault="00B564C3">
      <w:pPr>
        <w:spacing w:after="240"/>
        <w:rPr>
          <w:rFonts w:asciiTheme="minorHAnsi" w:hAnsiTheme="minorHAnsi" w:cstheme="minorHAnsi"/>
          <w:lang/>
        </w:rPr>
      </w:pPr>
      <w:r w:rsidRPr="00162E22">
        <w:rPr>
          <w:rFonts w:asciiTheme="minorHAnsi" w:hAnsiTheme="minorHAnsi" w:cstheme="minorHAnsi"/>
          <w:lang/>
        </w:rPr>
        <w:lastRenderedPageBreak/>
        <w:t xml:space="preserve">Le Twins PRO </w:t>
      </w:r>
      <w:proofErr w:type="gramStart"/>
      <w:r w:rsidRPr="00162E22">
        <w:rPr>
          <w:rFonts w:asciiTheme="minorHAnsi" w:hAnsiTheme="minorHAnsi" w:cstheme="minorHAnsi"/>
          <w:lang/>
        </w:rPr>
        <w:t>est</w:t>
      </w:r>
      <w:proofErr w:type="gramEnd"/>
      <w:r w:rsidRPr="00162E22">
        <w:rPr>
          <w:rFonts w:asciiTheme="minorHAnsi" w:hAnsiTheme="minorHAnsi" w:cstheme="minorHAnsi"/>
          <w:lang/>
        </w:rPr>
        <w:t xml:space="preserve"> fourni avec le logiciel de surveillance et de contrôle de desktop FSP Guardian. Lorsque le bloc d'alimentation </w:t>
      </w:r>
      <w:r w:rsidRPr="00162E22">
        <w:rPr>
          <w:rFonts w:asciiTheme="minorHAnsi" w:hAnsiTheme="minorHAnsi" w:cstheme="minorHAnsi"/>
          <w:lang/>
        </w:rPr>
        <w:t xml:space="preserve">de la série Twins PRO est connecté, via USB, à un en-tête USB de la carte mère, il utilise le logiciel FSP Guardian pour surveiller l'entrée d'alimentation, la puissance de sortie, l'efficacité, ainsi que d’autres données internes en temps réel. </w:t>
      </w:r>
      <w:proofErr w:type="gramStart"/>
      <w:r w:rsidRPr="00162E22">
        <w:rPr>
          <w:rFonts w:asciiTheme="minorHAnsi" w:hAnsiTheme="minorHAnsi" w:cstheme="minorHAnsi"/>
          <w:lang/>
        </w:rPr>
        <w:t>Ce logicie</w:t>
      </w:r>
      <w:r w:rsidRPr="00162E22">
        <w:rPr>
          <w:rFonts w:asciiTheme="minorHAnsi" w:hAnsiTheme="minorHAnsi" w:cstheme="minorHAnsi"/>
          <w:lang/>
        </w:rPr>
        <w:t>l permet également d’obtenir des données historiques sur les 30 derniers jours.</w:t>
      </w:r>
      <w:proofErr w:type="gramEnd"/>
      <w:r w:rsidRPr="00162E22">
        <w:rPr>
          <w:rFonts w:asciiTheme="minorHAnsi" w:hAnsiTheme="minorHAnsi" w:cstheme="minorHAnsi"/>
          <w:lang/>
        </w:rPr>
        <w:t xml:space="preserve"> </w:t>
      </w:r>
      <w:r w:rsidRPr="00162E22">
        <w:rPr>
          <w:rFonts w:asciiTheme="minorHAnsi" w:hAnsiTheme="minorHAnsi" w:cstheme="minorHAnsi"/>
          <w:lang/>
        </w:rPr>
        <w:br/>
      </w:r>
      <w:r w:rsidRPr="00162E22">
        <w:rPr>
          <w:rFonts w:asciiTheme="minorHAnsi" w:hAnsiTheme="minorHAnsi" w:cstheme="minorHAnsi"/>
          <w:lang/>
        </w:rPr>
        <w:br/>
        <w:t>De plus, dès que l’entrée ou la sortie d’alimentation dépasse un niveau recommandé, le FSP Guardian affiche immédiatement des informations d’avertissement pour alerter les ut</w:t>
      </w:r>
      <w:r w:rsidRPr="00162E22">
        <w:rPr>
          <w:rFonts w:asciiTheme="minorHAnsi" w:hAnsiTheme="minorHAnsi" w:cstheme="minorHAnsi"/>
          <w:lang/>
        </w:rPr>
        <w:t>ilisateurs de l’état actuel du bloc d’alimentation Twins PRO.</w:t>
      </w:r>
    </w:p>
    <w:p w:rsidR="00000000" w:rsidRPr="00162E22" w:rsidRDefault="00B564C3">
      <w:pPr>
        <w:pStyle w:val="3"/>
        <w:spacing w:before="0" w:beforeAutospacing="0" w:after="0" w:afterAutospacing="0"/>
        <w:rPr>
          <w:rFonts w:asciiTheme="minorHAnsi" w:hAnsiTheme="minorHAnsi" w:cstheme="minorHAnsi"/>
          <w:lang/>
        </w:rPr>
      </w:pPr>
      <w:r w:rsidRPr="00162E22">
        <w:rPr>
          <w:rFonts w:asciiTheme="minorHAnsi" w:hAnsiTheme="minorHAnsi" w:cstheme="minorHAnsi"/>
          <w:lang/>
        </w:rPr>
        <w:t>Conception modulaire avec câbles ruban</w:t>
      </w:r>
    </w:p>
    <w:p w:rsidR="00000000" w:rsidRPr="00162E22" w:rsidRDefault="00B564C3">
      <w:pPr>
        <w:spacing w:after="240"/>
        <w:rPr>
          <w:rFonts w:asciiTheme="minorHAnsi" w:hAnsiTheme="minorHAnsi" w:cstheme="minorHAnsi"/>
          <w:lang/>
        </w:rPr>
      </w:pPr>
      <w:r w:rsidRPr="00162E22">
        <w:rPr>
          <w:rFonts w:asciiTheme="minorHAnsi" w:hAnsiTheme="minorHAnsi" w:cstheme="minorHAnsi"/>
          <w:lang/>
        </w:rPr>
        <w:t xml:space="preserve">Les autres fonctionnalités de Twins PRO incluent une protection de l’alarme </w:t>
      </w:r>
      <w:proofErr w:type="gramStart"/>
      <w:r w:rsidRPr="00162E22">
        <w:rPr>
          <w:rFonts w:asciiTheme="minorHAnsi" w:hAnsiTheme="minorHAnsi" w:cstheme="minorHAnsi"/>
          <w:lang/>
        </w:rPr>
        <w:t>et</w:t>
      </w:r>
      <w:proofErr w:type="gramEnd"/>
      <w:r w:rsidRPr="00162E22">
        <w:rPr>
          <w:rFonts w:asciiTheme="minorHAnsi" w:hAnsiTheme="minorHAnsi" w:cstheme="minorHAnsi"/>
          <w:lang/>
        </w:rPr>
        <w:t xml:space="preserve"> un indicateur smart LED de l’état de l’alimentation, des câbles ruban plat</w:t>
      </w:r>
      <w:r w:rsidRPr="00162E22">
        <w:rPr>
          <w:rFonts w:asciiTheme="minorHAnsi" w:hAnsiTheme="minorHAnsi" w:cstheme="minorHAnsi"/>
          <w:lang/>
        </w:rPr>
        <w:t>s (idéaux pour les applications avec espace limité) et une conformité aux normes ATX 12V et EPS 12V ainsi que CEI 62368.</w:t>
      </w:r>
    </w:p>
    <w:p w:rsidR="00000000" w:rsidRPr="00162E22" w:rsidRDefault="00B564C3">
      <w:pPr>
        <w:pStyle w:val="3"/>
        <w:spacing w:before="0" w:beforeAutospacing="0" w:after="0" w:afterAutospacing="0"/>
        <w:rPr>
          <w:rFonts w:asciiTheme="minorHAnsi" w:hAnsiTheme="minorHAnsi" w:cstheme="minorHAnsi"/>
          <w:lang/>
        </w:rPr>
      </w:pPr>
      <w:r w:rsidRPr="00162E22">
        <w:rPr>
          <w:rFonts w:asciiTheme="minorHAnsi" w:hAnsiTheme="minorHAnsi" w:cstheme="minorHAnsi"/>
          <w:lang/>
        </w:rPr>
        <w:t xml:space="preserve">Prix </w:t>
      </w:r>
      <w:proofErr w:type="gramStart"/>
      <w:r w:rsidRPr="00162E22">
        <w:rPr>
          <w:rFonts w:asciiTheme="minorHAnsi" w:hAnsiTheme="minorHAnsi" w:cstheme="minorHAnsi"/>
          <w:lang/>
        </w:rPr>
        <w:t>et</w:t>
      </w:r>
      <w:proofErr w:type="gramEnd"/>
      <w:r w:rsidRPr="00162E22">
        <w:rPr>
          <w:rFonts w:asciiTheme="minorHAnsi" w:hAnsiTheme="minorHAnsi" w:cstheme="minorHAnsi"/>
          <w:lang/>
        </w:rPr>
        <w:t xml:space="preserve"> disponibilité</w:t>
      </w:r>
    </w:p>
    <w:p w:rsidR="00000000" w:rsidRPr="00162E22" w:rsidRDefault="00B564C3">
      <w:pPr>
        <w:rPr>
          <w:rFonts w:asciiTheme="minorHAnsi" w:hAnsiTheme="minorHAnsi" w:cstheme="minorHAnsi"/>
          <w:lang/>
        </w:rPr>
      </w:pPr>
      <w:r w:rsidRPr="00162E22">
        <w:rPr>
          <w:rFonts w:asciiTheme="minorHAnsi" w:hAnsiTheme="minorHAnsi" w:cstheme="minorHAnsi"/>
          <w:lang/>
        </w:rPr>
        <w:t xml:space="preserve">La série Twins PRO </w:t>
      </w:r>
      <w:proofErr w:type="gramStart"/>
      <w:r w:rsidRPr="00162E22">
        <w:rPr>
          <w:rFonts w:asciiTheme="minorHAnsi" w:hAnsiTheme="minorHAnsi" w:cstheme="minorHAnsi"/>
          <w:lang/>
        </w:rPr>
        <w:t>est</w:t>
      </w:r>
      <w:proofErr w:type="gramEnd"/>
      <w:r w:rsidRPr="00162E22">
        <w:rPr>
          <w:rFonts w:asciiTheme="minorHAnsi" w:hAnsiTheme="minorHAnsi" w:cstheme="minorHAnsi"/>
          <w:lang/>
        </w:rPr>
        <w:t xml:space="preserve"> maintenant disponible mondialement au prix de vente conseillé de $429.99 USD pour 500W, </w:t>
      </w:r>
      <w:r w:rsidRPr="00162E22">
        <w:rPr>
          <w:rFonts w:asciiTheme="minorHAnsi" w:hAnsiTheme="minorHAnsi" w:cstheme="minorHAnsi"/>
          <w:lang/>
        </w:rPr>
        <w:t>$549.99 USD pour 700W et $649.99 USD pour 900W.</w:t>
      </w:r>
      <w:r w:rsidRPr="00162E22">
        <w:rPr>
          <w:rFonts w:asciiTheme="minorHAnsi" w:hAnsiTheme="minorHAnsi" w:cstheme="minorHAnsi"/>
          <w:lang/>
        </w:rPr>
        <w:br/>
      </w:r>
      <w:r w:rsidRPr="00162E22">
        <w:rPr>
          <w:rFonts w:asciiTheme="minorHAnsi" w:hAnsiTheme="minorHAnsi" w:cstheme="minorHAnsi"/>
          <w:lang/>
        </w:rPr>
        <w:br/>
        <w:t>Plus d'informations sur :</w:t>
      </w:r>
      <w:r w:rsidRPr="00162E22">
        <w:rPr>
          <w:rFonts w:asciiTheme="minorHAnsi" w:hAnsiTheme="minorHAnsi" w:cstheme="minorHAnsi"/>
          <w:lang/>
        </w:rPr>
        <w:br/>
      </w:r>
      <w:hyperlink r:id="rId6" w:tgtFrame="_blank" w:history="1">
        <w:r w:rsidRPr="00162E22">
          <w:rPr>
            <w:rStyle w:val="a3"/>
            <w:rFonts w:asciiTheme="minorHAnsi" w:hAnsiTheme="minorHAnsi" w:cstheme="minorHAnsi"/>
            <w:lang/>
          </w:rPr>
          <w:t>Alimentation FSP Twins PRO 500W</w:t>
        </w:r>
      </w:hyperlink>
      <w:r w:rsidRPr="00162E22">
        <w:rPr>
          <w:rFonts w:asciiTheme="minorHAnsi" w:hAnsiTheme="minorHAnsi" w:cstheme="minorHAnsi"/>
          <w:lang/>
        </w:rPr>
        <w:br/>
      </w:r>
      <w:hyperlink r:id="rId7" w:tgtFrame="_blank" w:history="1">
        <w:r w:rsidRPr="00162E22">
          <w:rPr>
            <w:rStyle w:val="a3"/>
            <w:rFonts w:asciiTheme="minorHAnsi" w:hAnsiTheme="minorHAnsi" w:cstheme="minorHAnsi"/>
            <w:lang/>
          </w:rPr>
          <w:t>Alimentation FSP Twins PRO 700W</w:t>
        </w:r>
      </w:hyperlink>
      <w:r w:rsidRPr="00162E22">
        <w:rPr>
          <w:rFonts w:asciiTheme="minorHAnsi" w:hAnsiTheme="minorHAnsi" w:cstheme="minorHAnsi"/>
          <w:lang/>
        </w:rPr>
        <w:br/>
      </w:r>
      <w:hyperlink r:id="rId8" w:tgtFrame="_blank" w:history="1">
        <w:r w:rsidRPr="00162E22">
          <w:rPr>
            <w:rStyle w:val="a3"/>
            <w:rFonts w:asciiTheme="minorHAnsi" w:hAnsiTheme="minorHAnsi" w:cstheme="minorHAnsi"/>
            <w:lang/>
          </w:rPr>
          <w:t>Alimentation FSP Twins PRO 900W</w:t>
        </w:r>
      </w:hyperlink>
      <w:r w:rsidRPr="00162E22">
        <w:rPr>
          <w:rFonts w:asciiTheme="minorHAnsi" w:hAnsiTheme="minorHAnsi" w:cstheme="minorHAnsi"/>
          <w:lang/>
        </w:rPr>
        <w:t xml:space="preserve"> </w:t>
      </w:r>
      <w:r w:rsidRPr="00162E22">
        <w:rPr>
          <w:rFonts w:asciiTheme="minorHAnsi" w:hAnsiTheme="minorHAnsi" w:cstheme="minorHAnsi"/>
          <w:lang/>
        </w:rPr>
        <w:br/>
      </w:r>
      <w:r w:rsidRPr="00162E22">
        <w:rPr>
          <w:rFonts w:asciiTheme="minorHAnsi" w:hAnsiTheme="minorHAnsi" w:cstheme="minorHAnsi"/>
          <w:lang/>
        </w:rPr>
        <w:br/>
        <w:t xml:space="preserve">Vidéo sur la </w:t>
      </w:r>
      <w:hyperlink r:id="rId9" w:tgtFrame="_blank" w:history="1">
        <w:r w:rsidRPr="00162E22">
          <w:rPr>
            <w:rStyle w:val="a3"/>
            <w:rFonts w:asciiTheme="minorHAnsi" w:hAnsiTheme="minorHAnsi" w:cstheme="minorHAnsi"/>
            <w:lang/>
          </w:rPr>
          <w:t>série Twins PRO de FSP</w:t>
        </w:r>
        <w:r w:rsidRPr="00162E22">
          <w:rPr>
            <w:rFonts w:asciiTheme="minorHAnsi" w:hAnsiTheme="minorHAnsi" w:cstheme="minorHAnsi"/>
            <w:color w:val="0000FF"/>
            <w:u w:val="single"/>
            <w:lang/>
          </w:rPr>
          <w:br/>
        </w:r>
      </w:hyperlink>
    </w:p>
    <w:p w:rsidR="00000000" w:rsidRPr="00162E22" w:rsidRDefault="00B564C3">
      <w:pPr>
        <w:pStyle w:val="3"/>
        <w:spacing w:before="0" w:beforeAutospacing="0" w:after="0" w:afterAutospacing="0"/>
        <w:rPr>
          <w:rFonts w:asciiTheme="minorHAnsi" w:hAnsiTheme="minorHAnsi" w:cstheme="minorHAnsi"/>
          <w:lang/>
        </w:rPr>
      </w:pPr>
      <w:r w:rsidRPr="00162E22">
        <w:rPr>
          <w:rFonts w:asciiTheme="minorHAnsi" w:hAnsiTheme="minorHAnsi" w:cstheme="minorHAnsi"/>
          <w:lang/>
        </w:rPr>
        <w:t xml:space="preserve">Pour plus d’informations, veuillez visiter les pages </w:t>
      </w:r>
      <w:proofErr w:type="gramStart"/>
      <w:r w:rsidRPr="00162E22">
        <w:rPr>
          <w:rFonts w:asciiTheme="minorHAnsi" w:hAnsiTheme="minorHAnsi" w:cstheme="minorHAnsi"/>
          <w:lang/>
        </w:rPr>
        <w:t>suivantes :</w:t>
      </w:r>
      <w:proofErr w:type="gramEnd"/>
    </w:p>
    <w:p w:rsidR="00000000" w:rsidRPr="00162E22" w:rsidRDefault="00B564C3">
      <w:pPr>
        <w:spacing w:after="240"/>
        <w:rPr>
          <w:rFonts w:asciiTheme="minorHAnsi" w:hAnsiTheme="minorHAnsi" w:cstheme="minorHAnsi"/>
          <w:lang/>
        </w:rPr>
      </w:pPr>
      <w:r w:rsidRPr="00162E22">
        <w:rPr>
          <w:rFonts w:asciiTheme="minorHAnsi" w:hAnsiTheme="minorHAnsi" w:cstheme="minorHAnsi"/>
          <w:lang/>
        </w:rPr>
        <w:t xml:space="preserve">Site officiel du groupe FSP: </w:t>
      </w:r>
      <w:hyperlink r:id="rId10" w:tgtFrame="_blank" w:history="1">
        <w:r w:rsidRPr="00162E22">
          <w:rPr>
            <w:rStyle w:val="a3"/>
            <w:rFonts w:asciiTheme="minorHAnsi" w:hAnsiTheme="minorHAnsi" w:cstheme="minorHAnsi"/>
            <w:lang/>
          </w:rPr>
          <w:t>www.fsp-group.com</w:t>
        </w:r>
      </w:hyperlink>
      <w:r w:rsidRPr="00162E22">
        <w:rPr>
          <w:rFonts w:asciiTheme="minorHAnsi" w:hAnsiTheme="minorHAnsi" w:cstheme="minorHAnsi"/>
          <w:lang/>
        </w:rPr>
        <w:br/>
        <w:t xml:space="preserve">Site officiel des produits de la marque FSP: </w:t>
      </w:r>
      <w:hyperlink r:id="rId11" w:tgtFrame="_blank" w:history="1">
        <w:r w:rsidRPr="00162E22">
          <w:rPr>
            <w:rStyle w:val="a3"/>
            <w:rFonts w:asciiTheme="minorHAnsi" w:hAnsiTheme="minorHAnsi" w:cstheme="minorHAnsi"/>
            <w:lang/>
          </w:rPr>
          <w:t>www.FSPLifestyle.com</w:t>
        </w:r>
      </w:hyperlink>
      <w:r w:rsidRPr="00162E22">
        <w:rPr>
          <w:rFonts w:asciiTheme="minorHAnsi" w:hAnsiTheme="minorHAnsi" w:cstheme="minorHAnsi"/>
          <w:lang/>
        </w:rPr>
        <w:br/>
        <w:t xml:space="preserve">FSP Blog: </w:t>
      </w:r>
      <w:hyperlink r:id="rId12" w:tgtFrame="_blank" w:history="1">
        <w:r w:rsidRPr="00162E22">
          <w:rPr>
            <w:rStyle w:val="a3"/>
            <w:rFonts w:asciiTheme="minorHAnsi" w:hAnsiTheme="minorHAnsi" w:cstheme="minorHAnsi"/>
            <w:lang/>
          </w:rPr>
          <w:t>blog.fsp-group.com</w:t>
        </w:r>
      </w:hyperlink>
      <w:r w:rsidRPr="00162E22">
        <w:rPr>
          <w:rFonts w:asciiTheme="minorHAnsi" w:hAnsiTheme="minorHAnsi" w:cstheme="minorHAnsi"/>
          <w:lang/>
        </w:rPr>
        <w:br/>
        <w:t xml:space="preserve">Facebook: </w:t>
      </w:r>
      <w:hyperlink r:id="rId13" w:tgtFrame="_blank" w:history="1">
        <w:r w:rsidRPr="00162E22">
          <w:rPr>
            <w:rStyle w:val="a3"/>
            <w:rFonts w:asciiTheme="minorHAnsi" w:hAnsiTheme="minorHAnsi" w:cstheme="minorHAnsi"/>
            <w:lang/>
          </w:rPr>
          <w:t>www.facebook.com/FSP.global</w:t>
        </w:r>
      </w:hyperlink>
      <w:r w:rsidRPr="00162E22">
        <w:rPr>
          <w:rFonts w:asciiTheme="minorHAnsi" w:hAnsiTheme="minorHAnsi" w:cstheme="minorHAnsi"/>
          <w:lang/>
        </w:rPr>
        <w:br/>
        <w:t xml:space="preserve">LinkedIn: </w:t>
      </w:r>
      <w:hyperlink r:id="rId14" w:tgtFrame="_blank" w:history="1">
        <w:r w:rsidRPr="00162E22">
          <w:rPr>
            <w:rStyle w:val="a3"/>
            <w:rFonts w:asciiTheme="minorHAnsi" w:hAnsiTheme="minorHAnsi" w:cstheme="minorHAnsi"/>
            <w:lang/>
          </w:rPr>
          <w:t>www.linkedin.com/company/1842554</w:t>
        </w:r>
      </w:hyperlink>
      <w:r w:rsidRPr="00162E22">
        <w:rPr>
          <w:rFonts w:asciiTheme="minorHAnsi" w:hAnsiTheme="minorHAnsi" w:cstheme="minorHAnsi"/>
          <w:lang/>
        </w:rPr>
        <w:br/>
        <w:t xml:space="preserve">Twitter: </w:t>
      </w:r>
      <w:hyperlink r:id="rId15" w:tgtFrame="_blank" w:history="1">
        <w:r w:rsidRPr="00162E22">
          <w:rPr>
            <w:rStyle w:val="a3"/>
            <w:rFonts w:asciiTheme="minorHAnsi" w:hAnsiTheme="minorHAnsi" w:cstheme="minorHAnsi"/>
            <w:lang/>
          </w:rPr>
          <w:t>https://twitter.com/FSP_FR</w:t>
        </w:r>
      </w:hyperlink>
    </w:p>
    <w:p w:rsidR="00000000" w:rsidRPr="00162E22" w:rsidRDefault="00B564C3">
      <w:pPr>
        <w:pStyle w:val="3"/>
        <w:spacing w:before="0" w:beforeAutospacing="0" w:after="0" w:afterAutospacing="0"/>
        <w:rPr>
          <w:rFonts w:asciiTheme="minorHAnsi" w:hAnsiTheme="minorHAnsi" w:cstheme="minorHAnsi"/>
          <w:lang/>
        </w:rPr>
      </w:pPr>
      <w:r w:rsidRPr="00162E22">
        <w:rPr>
          <w:rFonts w:asciiTheme="minorHAnsi" w:hAnsiTheme="minorHAnsi" w:cstheme="minorHAnsi"/>
          <w:lang/>
        </w:rPr>
        <w:t>A propos de FSP</w:t>
      </w:r>
    </w:p>
    <w:p w:rsidR="00B564C3" w:rsidRPr="00162E22" w:rsidRDefault="00B564C3">
      <w:pPr>
        <w:rPr>
          <w:rFonts w:asciiTheme="minorHAnsi" w:hAnsiTheme="minorHAnsi" w:cstheme="minorHAnsi"/>
          <w:lang/>
        </w:rPr>
      </w:pPr>
      <w:r w:rsidRPr="00162E22">
        <w:rPr>
          <w:rFonts w:asciiTheme="minorHAnsi" w:hAnsiTheme="minorHAnsi" w:cstheme="minorHAnsi"/>
          <w:lang/>
        </w:rPr>
        <w:t xml:space="preserve">Fondé en 1993 </w:t>
      </w:r>
      <w:proofErr w:type="gramStart"/>
      <w:r w:rsidRPr="00162E22">
        <w:rPr>
          <w:rFonts w:asciiTheme="minorHAnsi" w:hAnsiTheme="minorHAnsi" w:cstheme="minorHAnsi"/>
          <w:lang/>
        </w:rPr>
        <w:t>et</w:t>
      </w:r>
      <w:proofErr w:type="gramEnd"/>
      <w:r w:rsidRPr="00162E22">
        <w:rPr>
          <w:rFonts w:asciiTheme="minorHAnsi" w:hAnsiTheme="minorHAnsi" w:cstheme="minorHAnsi"/>
          <w:lang/>
        </w:rPr>
        <w:t xml:space="preserve"> parmi les leaders mondiaux des fournisseurs d’alimentations électriques, FSP Group (3015: Taiwan) répond aux demandes variées des utilisateurs dans les al</w:t>
      </w:r>
      <w:r w:rsidRPr="00162E22">
        <w:rPr>
          <w:rFonts w:asciiTheme="minorHAnsi" w:hAnsiTheme="minorHAnsi" w:cstheme="minorHAnsi"/>
          <w:lang/>
        </w:rPr>
        <w:t xml:space="preserve">imentations avec son équipe R&amp;D forte de 400 personnes, sa capacité de production robuste et ses lignes de production complètes. Avec plus de 500 modèles certifiés par les normes 80 PLUS, FSP </w:t>
      </w:r>
      <w:proofErr w:type="gramStart"/>
      <w:r w:rsidRPr="00162E22">
        <w:rPr>
          <w:rFonts w:asciiTheme="minorHAnsi" w:hAnsiTheme="minorHAnsi" w:cstheme="minorHAnsi"/>
          <w:lang/>
        </w:rPr>
        <w:t>est</w:t>
      </w:r>
      <w:proofErr w:type="gramEnd"/>
      <w:r w:rsidRPr="00162E22">
        <w:rPr>
          <w:rFonts w:asciiTheme="minorHAnsi" w:hAnsiTheme="minorHAnsi" w:cstheme="minorHAnsi"/>
          <w:lang/>
        </w:rPr>
        <w:t xml:space="preserve"> numéro un au monde en certifications 80 PLUS. FSP utilise de</w:t>
      </w:r>
      <w:r w:rsidRPr="00162E22">
        <w:rPr>
          <w:rFonts w:asciiTheme="minorHAnsi" w:hAnsiTheme="minorHAnsi" w:cstheme="minorHAnsi"/>
          <w:lang/>
        </w:rPr>
        <w:t xml:space="preserve">s technologies écologiques en offrant la meilleure protection de l’environnement </w:t>
      </w:r>
      <w:proofErr w:type="gramStart"/>
      <w:r w:rsidRPr="00162E22">
        <w:rPr>
          <w:rFonts w:asciiTheme="minorHAnsi" w:hAnsiTheme="minorHAnsi" w:cstheme="minorHAnsi"/>
          <w:lang/>
        </w:rPr>
        <w:t>et</w:t>
      </w:r>
      <w:proofErr w:type="gramEnd"/>
      <w:r w:rsidRPr="00162E22">
        <w:rPr>
          <w:rFonts w:asciiTheme="minorHAnsi" w:hAnsiTheme="minorHAnsi" w:cstheme="minorHAnsi"/>
          <w:lang/>
        </w:rPr>
        <w:t xml:space="preserve"> des produits de qualité. </w:t>
      </w:r>
      <w:hyperlink r:id="rId16" w:tgtFrame="_blank" w:history="1">
        <w:r w:rsidRPr="00162E22">
          <w:rPr>
            <w:rStyle w:val="a3"/>
            <w:rFonts w:asciiTheme="minorHAnsi" w:hAnsiTheme="minorHAnsi" w:cstheme="minorHAnsi"/>
            <w:lang/>
          </w:rPr>
          <w:t>www.fsp-group.com</w:t>
        </w:r>
      </w:hyperlink>
      <w:r w:rsidRPr="00162E22">
        <w:rPr>
          <w:rFonts w:asciiTheme="minorHAnsi" w:hAnsiTheme="minorHAnsi" w:cstheme="minorHAnsi"/>
          <w:lang/>
        </w:rPr>
        <w:t xml:space="preserve"> </w:t>
      </w:r>
    </w:p>
    <w:sectPr w:rsidR="00B564C3" w:rsidRPr="00162E22">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4C3" w:rsidRDefault="00B564C3" w:rsidP="00162E22">
      <w:r>
        <w:separator/>
      </w:r>
    </w:p>
  </w:endnote>
  <w:endnote w:type="continuationSeparator" w:id="0">
    <w:p w:rsidR="00B564C3" w:rsidRDefault="00B564C3" w:rsidP="00162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4C3" w:rsidRDefault="00B564C3" w:rsidP="00162E22">
      <w:r>
        <w:separator/>
      </w:r>
    </w:p>
  </w:footnote>
  <w:footnote w:type="continuationSeparator" w:id="0">
    <w:p w:rsidR="00B564C3" w:rsidRDefault="00B564C3" w:rsidP="00162E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162E22"/>
    <w:rsid w:val="00162E22"/>
    <w:rsid w:val="00B564C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162E22"/>
    <w:pPr>
      <w:tabs>
        <w:tab w:val="center" w:pos="4153"/>
        <w:tab w:val="right" w:pos="8306"/>
      </w:tabs>
      <w:snapToGrid w:val="0"/>
    </w:pPr>
    <w:rPr>
      <w:sz w:val="20"/>
      <w:szCs w:val="20"/>
    </w:rPr>
  </w:style>
  <w:style w:type="character" w:customStyle="1" w:styleId="a6">
    <w:name w:val="頁首 字元"/>
    <w:basedOn w:val="a0"/>
    <w:link w:val="a5"/>
    <w:uiPriority w:val="99"/>
    <w:semiHidden/>
    <w:rsid w:val="00162E22"/>
    <w:rPr>
      <w:rFonts w:ascii="新細明體" w:eastAsia="新細明體" w:hAnsi="新細明體" w:cs="新細明體"/>
    </w:rPr>
  </w:style>
  <w:style w:type="paragraph" w:styleId="a7">
    <w:name w:val="footer"/>
    <w:basedOn w:val="a"/>
    <w:link w:val="a8"/>
    <w:uiPriority w:val="99"/>
    <w:semiHidden/>
    <w:unhideWhenUsed/>
    <w:rsid w:val="00162E22"/>
    <w:pPr>
      <w:tabs>
        <w:tab w:val="center" w:pos="4153"/>
        <w:tab w:val="right" w:pos="8306"/>
      </w:tabs>
      <w:snapToGrid w:val="0"/>
    </w:pPr>
    <w:rPr>
      <w:sz w:val="20"/>
      <w:szCs w:val="20"/>
    </w:rPr>
  </w:style>
  <w:style w:type="character" w:customStyle="1" w:styleId="a8">
    <w:name w:val="頁尾 字元"/>
    <w:basedOn w:val="a0"/>
    <w:link w:val="a7"/>
    <w:uiPriority w:val="99"/>
    <w:semiHidden/>
    <w:rsid w:val="00162E22"/>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plifestyle.com/fr/product/TwinsPRO900W.html?utm_source=web&amp;utm_medium=pr&amp;utm_campaign=news" TargetMode="External"/><Relationship Id="rId13" Type="http://schemas.openxmlformats.org/officeDocument/2006/relationships/hyperlink" Target="http://www.facebook.com/FSP.globa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splifestyle.com/fr/product/TwinsPRO700W.html?utm_source=web&amp;utm_medium=pr&amp;utm_campaign=news" TargetMode="External"/><Relationship Id="rId12" Type="http://schemas.openxmlformats.org/officeDocument/2006/relationships/hyperlink" Target="https://blog.fsp-group.com/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fsp-group.com/" TargetMode="External"/><Relationship Id="rId1" Type="http://schemas.openxmlformats.org/officeDocument/2006/relationships/styles" Target="styles.xml"/><Relationship Id="rId6" Type="http://schemas.openxmlformats.org/officeDocument/2006/relationships/hyperlink" Target="https://www.fsplifestyle.com/fr/product/TwinsPRO500W.html?utm_source=web&amp;utm_medium=pr&amp;utm_campaign=news" TargetMode="External"/><Relationship Id="rId11" Type="http://schemas.openxmlformats.org/officeDocument/2006/relationships/hyperlink" Target="http://www.fsplifestyle.com/" TargetMode="External"/><Relationship Id="rId5" Type="http://schemas.openxmlformats.org/officeDocument/2006/relationships/endnotes" Target="endnotes.xml"/><Relationship Id="rId15" Type="http://schemas.openxmlformats.org/officeDocument/2006/relationships/hyperlink" Target="https://twitter.com/FSP_FR" TargetMode="External"/><Relationship Id="rId10" Type="http://schemas.openxmlformats.org/officeDocument/2006/relationships/hyperlink" Target="http://www.fsp-group.com/" TargetMode="External"/><Relationship Id="rId4" Type="http://schemas.openxmlformats.org/officeDocument/2006/relationships/footnotes" Target="footnotes.xml"/><Relationship Id="rId9" Type="http://schemas.openxmlformats.org/officeDocument/2006/relationships/hyperlink" Target="https://youtu.be/zwGrkymI-lM" TargetMode="External"/><Relationship Id="rId14" Type="http://schemas.openxmlformats.org/officeDocument/2006/relationships/hyperlink" Target="http://www.linkedin.com/company/184255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FSP annonce les alimentations Twins PRO de 500, 700 &amp; 900W</dc:title>
  <dc:creator>Sandy</dc:creator>
  <cp:lastModifiedBy>Sandy</cp:lastModifiedBy>
  <cp:revision>2</cp:revision>
  <dcterms:created xsi:type="dcterms:W3CDTF">2021-03-17T09:54:00Z</dcterms:created>
  <dcterms:modified xsi:type="dcterms:W3CDTF">2021-03-17T09:54:00Z</dcterms:modified>
</cp:coreProperties>
</file>