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7732" w14:textId="77777777" w:rsidR="000A02C9" w:rsidRPr="00BF509E" w:rsidRDefault="00000000">
      <w:pPr>
        <w:pStyle w:val="BodyText"/>
        <w:rPr>
          <w:rFonts w:ascii="Microsoft JhengHei" w:eastAsia="Microsoft JhengHei" w:hAnsi="Microsoft JhengHei"/>
        </w:rPr>
      </w:pPr>
      <w:r w:rsidRPr="00BF509E">
        <w:rPr>
          <w:rFonts w:ascii="Microsoft JhengHei" w:eastAsia="Microsoft JhengHei" w:hAnsi="Microsoft JhengHei"/>
        </w:rPr>
        <w:t>FOR IMMEDIATE RELEASE</w:t>
      </w:r>
    </w:p>
    <w:p w14:paraId="517D8A50" w14:textId="77777777" w:rsidR="000A02C9" w:rsidRPr="00BF509E" w:rsidRDefault="00000000">
      <w:pPr>
        <w:pStyle w:val="Heading1"/>
        <w:spacing w:before="0" w:after="0"/>
        <w:jc w:val="center"/>
        <w:rPr>
          <w:rFonts w:ascii="Microsoft JhengHei" w:eastAsia="Microsoft JhengHei" w:hAnsi="Microsoft JhengHei"/>
          <w:sz w:val="28"/>
          <w:szCs w:val="28"/>
        </w:rPr>
      </w:pPr>
      <w:r w:rsidRPr="00BF509E">
        <w:rPr>
          <w:rFonts w:ascii="Microsoft JhengHei" w:eastAsia="Microsoft JhengHei" w:hAnsi="Microsoft JhengHei"/>
          <w:sz w:val="28"/>
          <w:szCs w:val="28"/>
        </w:rPr>
        <w:t>工業局攜手資策會率領臺廠在東京大秀5G網通實力 拓展國際商機</w:t>
      </w:r>
    </w:p>
    <w:p w14:paraId="582FEE09" w14:textId="77777777" w:rsidR="000A02C9" w:rsidRPr="00BF509E" w:rsidRDefault="00000000">
      <w:pPr>
        <w:pStyle w:val="BodyText"/>
        <w:rPr>
          <w:rFonts w:ascii="Microsoft JhengHei" w:eastAsia="Microsoft JhengHei" w:hAnsi="Microsoft JhengHei"/>
        </w:rPr>
      </w:pPr>
      <w:r w:rsidRPr="00BF509E">
        <w:rPr>
          <w:rFonts w:ascii="Microsoft JhengHei" w:eastAsia="Microsoft JhengHei" w:hAnsi="Microsoft JhengHei"/>
        </w:rPr>
        <w:br/>
      </w:r>
      <w:r w:rsidRPr="00BF509E">
        <w:rPr>
          <w:rFonts w:ascii="Microsoft JhengHei" w:eastAsia="Microsoft JhengHei" w:hAnsi="Microsoft JhengHei"/>
          <w:b/>
        </w:rPr>
        <w:t>【台北，2023年6月28日】</w:t>
      </w:r>
      <w:r w:rsidRPr="00BF509E">
        <w:rPr>
          <w:rFonts w:ascii="Microsoft JhengHei" w:eastAsia="Microsoft JhengHei" w:hAnsi="Microsoft JhengHei"/>
        </w:rPr>
        <w:t>日本通信技術盛會「COMNEXT次世代通信技術展」在今日於東京國際展示場（Tokyo Big Sight）盛大開展！開展首日臺灣以「5G TEAM TAIWAN」為號召，並由經濟部工業局連錦漳局長揭幕，攜手財團法人資訊工業策進會，共同集結我國網通業者亞旭、光寶、雲達、HTC旗下智宏網於展覽3天（6月28日至6月30日）大秀臺灣5G網通實力，並與國際大廠進行一對一深度媒合交流，強化臺廠與國際業者之互動與連結，激盪出雙方合作的火花。</w:t>
      </w:r>
      <w:r w:rsidRPr="00BF509E">
        <w:rPr>
          <w:rFonts w:ascii="Microsoft JhengHei" w:eastAsia="Microsoft JhengHei" w:hAnsi="Microsoft JhengHei"/>
        </w:rPr>
        <w:br/>
      </w:r>
      <w:r w:rsidRPr="00BF509E">
        <w:rPr>
          <w:rFonts w:ascii="Microsoft JhengHei" w:eastAsia="Microsoft JhengHei" w:hAnsi="Microsoft JhengHei"/>
        </w:rPr>
        <w:br/>
        <w:t xml:space="preserve">期間由經濟部工業局連錦漳局長見證臺日雙方產業簽署合作備忘錄（MOU）的成果，分別為HTC旗下智宏網及日本世代物業管理公司，攜手打造5G智慧家庭解決方案，透過5G專網結合AI影像辨識技術，監測追蹤進出大樓可疑人士、潛在災害來源（如異常熱源），以及掌握水電、瓦斯使用狀況應用，進軍日本大樓住宅智慧化管理市場；雲達科技（QCT）與日本京瓷集團系統整合商（System Integrator, SI）KYOCERA Mirai Envision Co. </w:t>
      </w:r>
      <w:proofErr w:type="gramStart"/>
      <w:r w:rsidRPr="00BF509E">
        <w:rPr>
          <w:rFonts w:ascii="Microsoft JhengHei" w:eastAsia="Microsoft JhengHei" w:hAnsi="Microsoft JhengHei"/>
        </w:rPr>
        <w:t>Ltd.,（</w:t>
      </w:r>
      <w:proofErr w:type="gramEnd"/>
      <w:r w:rsidRPr="00BF509E">
        <w:rPr>
          <w:rFonts w:ascii="Microsoft JhengHei" w:eastAsia="Microsoft JhengHei" w:hAnsi="Microsoft JhengHei"/>
        </w:rPr>
        <w:t xml:space="preserve">KCME）經銷合作，透過KCME於日本拓銷端到端5G專網系統解決方案，共同於日本發展Local 5G應用案例，推廣並加速促成在地智慧製造及智慧農業等領域之轉型。 </w:t>
      </w:r>
      <w:r w:rsidRPr="00BF509E">
        <w:rPr>
          <w:rFonts w:ascii="Microsoft JhengHei" w:eastAsia="Microsoft JhengHei" w:hAnsi="Microsoft JhengHei"/>
        </w:rPr>
        <w:br/>
      </w:r>
      <w:r w:rsidRPr="00BF509E">
        <w:rPr>
          <w:rFonts w:ascii="Microsoft JhengHei" w:eastAsia="Microsoft JhengHei" w:hAnsi="Microsoft JhengHei"/>
        </w:rPr>
        <w:br/>
        <w:t>會場展出期間，資策會力邀</w:t>
      </w:r>
      <w:proofErr w:type="spellStart"/>
      <w:r w:rsidRPr="00BF509E">
        <w:rPr>
          <w:rFonts w:ascii="Microsoft JhengHei" w:eastAsia="Microsoft JhengHei" w:hAnsi="Microsoft JhengHei"/>
        </w:rPr>
        <w:t>Airspan</w:t>
      </w:r>
      <w:proofErr w:type="spellEnd"/>
      <w:r w:rsidRPr="00BF509E">
        <w:rPr>
          <w:rFonts w:ascii="Microsoft JhengHei" w:eastAsia="Microsoft JhengHei" w:hAnsi="Microsoft JhengHei"/>
        </w:rPr>
        <w:t>、Qualcomm、NTT DOCOMO、KDDI、NEC、Rakuten Mobile、FUJITSU等國際知名大廠，與我國網通業者進行一對一深入交流。透過鏈結雙方，臺廠更可掌握國際市場之需求及商機切入點，同時展示我國網通業者卓越5G解決方案實力及多元應用之潛力，向5G先導應用國際業者揭示台灣5G堅強戰力。資策會數轉院林玉凡院長也表示，「在工業局的支持及率領，基於資策會數位轉型研究院（數轉院）5G通訊實驗室之能量，提供第三方顧問服務並協助我國業者鏈結國際，攜手台灣優質網通業者參與這場通信技術盛會，得以與眾家國際大廠進行深度交流，不僅吸收通訊產業之市場趨勢，同時也向國際業者展示，台灣在</w:t>
      </w:r>
      <w:proofErr w:type="spellStart"/>
      <w:r w:rsidRPr="00BF509E">
        <w:rPr>
          <w:rFonts w:ascii="Microsoft JhengHei" w:eastAsia="Microsoft JhengHei" w:hAnsi="Microsoft JhengHei"/>
        </w:rPr>
        <w:t>5G</w:t>
      </w:r>
      <w:proofErr w:type="spellEnd"/>
      <w:r w:rsidRPr="00BF509E">
        <w:rPr>
          <w:rFonts w:ascii="Microsoft JhengHei" w:eastAsia="Microsoft JhengHei" w:hAnsi="Microsoft JhengHei"/>
        </w:rPr>
        <w:t xml:space="preserve">的應用及發展皆已達到一定的水準。」 </w:t>
      </w:r>
      <w:r w:rsidRPr="00BF509E">
        <w:rPr>
          <w:rFonts w:ascii="Microsoft JhengHei" w:eastAsia="Microsoft JhengHei" w:hAnsi="Microsoft JhengHei"/>
        </w:rPr>
        <w:br/>
      </w:r>
      <w:r w:rsidRPr="00BF509E">
        <w:rPr>
          <w:rFonts w:ascii="Microsoft JhengHei" w:eastAsia="Microsoft JhengHei" w:hAnsi="Microsoft JhengHei"/>
        </w:rPr>
        <w:br/>
        <w:t>本次臺灣網通業者以「5G TEAM TAIWAN」在「COMNEXT次世代通信技術展」展出5G解決方案及5G AIoT應用成果，顯示臺灣於全球5G供應鏈中，足以擔任優質且可信賴之夥伴，透過與國際廠商之多元合作面向拓展5G應用領域，壯大5G生態系，帶動並推廣海外與我國雙方加成之效益，未來也將以共創臺灣與國際業者雙贏合作新局為目標推進。</w:t>
      </w:r>
    </w:p>
    <w:p w14:paraId="41CBBA58" w14:textId="77777777" w:rsidR="000A02C9" w:rsidRPr="00BF509E" w:rsidRDefault="00000000">
      <w:pPr>
        <w:pStyle w:val="Heading3"/>
        <w:spacing w:before="0" w:after="0"/>
        <w:rPr>
          <w:rFonts w:ascii="Microsoft JhengHei" w:eastAsia="Microsoft JhengHei" w:hAnsi="Microsoft JhengHei"/>
          <w:sz w:val="26"/>
          <w:szCs w:val="26"/>
        </w:rPr>
      </w:pPr>
      <w:r w:rsidRPr="00BF509E">
        <w:rPr>
          <w:rFonts w:ascii="Microsoft JhengHei" w:eastAsia="Microsoft JhengHei" w:hAnsi="Microsoft JhengHei"/>
          <w:sz w:val="26"/>
          <w:szCs w:val="26"/>
        </w:rPr>
        <w:lastRenderedPageBreak/>
        <w:t>關於經濟部工業局</w:t>
      </w:r>
    </w:p>
    <w:p w14:paraId="3FB88B19" w14:textId="77777777" w:rsidR="000A02C9" w:rsidRPr="00BF509E" w:rsidRDefault="00000000">
      <w:pPr>
        <w:pStyle w:val="BodyText"/>
        <w:rPr>
          <w:rFonts w:ascii="Microsoft JhengHei" w:eastAsia="Microsoft JhengHei" w:hAnsi="Microsoft JhengHei"/>
        </w:rPr>
      </w:pPr>
      <w:r w:rsidRPr="00BF509E">
        <w:rPr>
          <w:rFonts w:ascii="Microsoft JhengHei" w:eastAsia="Microsoft JhengHei" w:hAnsi="Microsoft JhengHei"/>
        </w:rPr>
        <w:t xml:space="preserve">經濟部工業局為臺灣經濟部所屬之行政機關，執掌全國工業政策定任務，監管臺灣多元產業發展，包括金屬機電、電子資訊、民生化工、知識服務、永續發展等產業。經濟部工業局亦為推動臺灣智慧城市計畫之主管機關，該計畫旨在善用各種智慧技術（如物聯網、大數據和人工智慧），以有效整合地方、產業和民間需求。 </w:t>
      </w:r>
    </w:p>
    <w:p w14:paraId="25BD22B6" w14:textId="77777777" w:rsidR="000A02C9" w:rsidRPr="00BF509E" w:rsidRDefault="00000000">
      <w:pPr>
        <w:pStyle w:val="Heading3"/>
        <w:spacing w:before="0" w:after="0"/>
        <w:rPr>
          <w:rFonts w:ascii="Microsoft JhengHei" w:eastAsia="Microsoft JhengHei" w:hAnsi="Microsoft JhengHei"/>
          <w:sz w:val="26"/>
          <w:szCs w:val="26"/>
        </w:rPr>
      </w:pPr>
      <w:r w:rsidRPr="00BF509E">
        <w:rPr>
          <w:rFonts w:ascii="Microsoft JhengHei" w:eastAsia="Microsoft JhengHei" w:hAnsi="Microsoft JhengHei"/>
          <w:sz w:val="26"/>
          <w:szCs w:val="26"/>
        </w:rPr>
        <w:t>關於財團法人資訊工業策進會</w:t>
      </w:r>
    </w:p>
    <w:p w14:paraId="63E977C8" w14:textId="77777777" w:rsidR="000A02C9" w:rsidRPr="00BF509E" w:rsidRDefault="00000000">
      <w:pPr>
        <w:pStyle w:val="BodyText"/>
        <w:rPr>
          <w:rFonts w:ascii="Microsoft JhengHei" w:eastAsia="Microsoft JhengHei" w:hAnsi="Microsoft JhengHei"/>
        </w:rPr>
      </w:pPr>
      <w:r w:rsidRPr="00BF509E">
        <w:rPr>
          <w:rFonts w:ascii="Microsoft JhengHei" w:eastAsia="Microsoft JhengHei" w:hAnsi="Microsoft JhengHei"/>
        </w:rPr>
        <w:t xml:space="preserve">財團法人資訊工業策進會（簡稱資策會）自成立以來，參與規劃研擬並推動公共資訊產業政策。資策會透過公私協力，致力資通訊前瞻研發、普及與深化資訊應用、培育資訊科技人才及參與國家資訊基礎建設等各項業務。資策會作為數位轉型的化育者（Digital Transformation Enabler），以策進臺灣資通訊科技之創新與應用、協助數位經濟發展為宗旨。 </w:t>
      </w:r>
    </w:p>
    <w:sectPr w:rsidR="000A02C9" w:rsidRPr="00BF509E" w:rsidSect="00BF509E">
      <w:pgSz w:w="12240" w:h="15840"/>
      <w:pgMar w:top="1123" w:right="1123" w:bottom="1123" w:left="112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C9"/>
    <w:rsid w:val="000A02C9"/>
    <w:rsid w:val="00B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3068"/>
  <w15:docId w15:val="{C40591B6-EC08-4764-B4CC-416EB60D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Heading3">
    <w:name w:val="heading 3"/>
    <w:basedOn w:val="Heading"/>
    <w:next w:val="BodyText"/>
    <w:uiPriority w:val="9"/>
    <w:unhideWhenUsed/>
    <w:qFormat/>
    <w:pPr>
      <w:spacing w:before="140" w:after="120"/>
      <w:outlineLvl w:val="2"/>
    </w:pPr>
    <w:rPr>
      <w:rFonts w:ascii="Liberation Serif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工業局攜手資策會率領臺廠在東京大秀5G網通實力 拓展國際商機</dc:title>
  <dc:subject/>
  <dc:creator/>
  <dc:description/>
  <cp:lastModifiedBy>Skalamera Jean-Pierre</cp:lastModifiedBy>
  <cp:revision>1</cp:revision>
  <dcterms:created xsi:type="dcterms:W3CDTF">2023-06-26T03:59:00Z</dcterms:created>
  <dcterms:modified xsi:type="dcterms:W3CDTF">2023-06-26T04:02:00Z</dcterms:modified>
  <dc:language>en-US</dc:language>
</cp:coreProperties>
</file>