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spacing w:lineRule="auto" w:line="276"/>
        <w:rPr>
          <w:highlight w:val="none"/>
          <w:shd w:fill="auto" w:val="clear"/>
        </w:rPr>
      </w:pPr>
      <w:r>
        <w:rPr>
          <w:rFonts w:ascii="Times New Roman" w:hAnsi="Times New Roman"/>
          <w:shd w:fill="auto" w:val="clear"/>
        </w:rPr>
        <w:t>FOR IMMEDIATE RELEASE</w:t>
      </w:r>
    </w:p>
    <w:p>
      <w:pPr>
        <w:pStyle w:val="Style15"/>
        <w:spacing w:lineRule="auto" w:line="276"/>
        <w:rPr>
          <w:highlight w:val="none"/>
          <w:shd w:fill="auto" w:val="clear"/>
        </w:rPr>
      </w:pPr>
      <w:r>
        <w:rPr>
          <w:rFonts w:ascii="Times New Roman" w:hAnsi="Times New Roman"/>
          <w:b/>
          <w:bCs/>
          <w:sz w:val="28"/>
          <w:szCs w:val="28"/>
          <w:shd w:fill="auto" w:val="clear"/>
        </w:rPr>
        <w:t>COMPUTEX 2023 Best Choice of the Year Awarded to MSI Z790 GODLIKE</w:t>
      </w:r>
    </w:p>
    <w:p>
      <w:pPr>
        <w:pStyle w:val="Style15"/>
        <w:spacing w:lineRule="auto" w:line="276"/>
        <w:jc w:val="center"/>
        <w:rPr>
          <w:highlight w:val="none"/>
          <w:shd w:fill="auto" w:val="clear"/>
        </w:rPr>
      </w:pPr>
      <w:r>
        <w:rPr>
          <w:rFonts w:ascii="Times New Roman" w:hAnsi="Times New Roman"/>
          <w:b/>
          <w:bCs/>
          <w:i/>
          <w:sz w:val="26"/>
          <w:szCs w:val="26"/>
          <w:shd w:fill="auto" w:val="clear"/>
        </w:rPr>
        <w:t>Best Choice Award Winners To Be Announced on May 30th &amp; Displayed at the Best Choice Award Pavilion During the Exhibition</w:t>
      </w:r>
    </w:p>
    <w:p>
      <w:pPr>
        <w:pStyle w:val="Style15"/>
        <w:spacing w:lineRule="auto" w:line="276"/>
        <w:rPr>
          <w:highlight w:val="none"/>
          <w:shd w:fill="auto" w:val="clear"/>
        </w:rPr>
      </w:pPr>
      <w:r>
        <w:rPr>
          <w:rFonts w:ascii="Times New Roman" w:hAnsi="Times New Roman"/>
          <w:shd w:fill="auto" w:val="clear"/>
        </w:rPr>
        <w:br/>
      </w:r>
      <w:r>
        <w:rPr>
          <w:rFonts w:ascii="Times New Roman" w:hAnsi="Times New Roman"/>
          <w:b/>
          <w:shd w:fill="auto" w:val="clear"/>
        </w:rPr>
        <w:t xml:space="preserve">Taipei, Taiwan, May 30th, 2023 - </w:t>
      </w:r>
      <w:r>
        <w:rPr>
          <w:rFonts w:ascii="Times New Roman" w:hAnsi="Times New Roman"/>
          <w:shd w:fill="auto" w:val="clear"/>
        </w:rPr>
        <w:t>The Taipei Computer Association (TCA), the leading industrial organization in Taiwan and promoter of Asia’s leading B2B ICT exhibition, has stated COMPUTEX TAIPEI 2023 officially begins on Tuesday, May 30th with the morning announcement of COMPUTEX 2023 Best Choice Award Winners at Taipei Nangang Exhibition Center, Hall 1, 4th Fl., M Area Lobby.</w:t>
        <w:br/>
        <w:br/>
        <w:t xml:space="preserve">The exhibition event open from Tuesday May 30th to Friday June 2nd, 2023, where guests and visitors are welcome to join the Best Choice Award Pavilion booth No. L0307a to view the winning products. </w:t>
        <w:br/>
        <w:br/>
        <w:t>Of the 37 products awarded this year, the highest honor, Best Choice of the Year Award, has been bestowed upon the MSI Z790 GODLIKE motherboard for its outstanding design, performance, and technical innovation.</w:t>
        <w:br/>
        <w:br/>
        <w:t>This year, the Best Choice Awards focused on 15 categories, including: Vehicle Tech &amp; Smart Cockpit, metaverse &amp; XR applications, AI, ESG and more. The categories follow the current global ICT trends and are judged by an independent jury panel recruited from government representatives, academicians and research analysts to ensure neutrality and that the products truly represent the best of COMPUTEX TAIPEI 2023.</w:t>
      </w:r>
    </w:p>
    <w:p>
      <w:pPr>
        <w:pStyle w:val="Style15"/>
        <w:spacing w:lineRule="auto" w:line="276" w:before="0" w:after="0"/>
        <w:jc w:val="center"/>
        <w:rPr/>
      </w:pPr>
      <w:r>
        <w:rPr>
          <w:rFonts w:ascii="Times New Roman" w:hAnsi="Times New Roman"/>
          <w:b/>
          <w:shd w:fill="auto" w:val="clear"/>
        </w:rPr>
        <w:t>COMPUTEX Best Choice Award 2023 Winners’ List</w:t>
      </w:r>
      <w:r>
        <w:rPr>
          <w:rFonts w:ascii="Times New Roman" w:hAnsi="Times New Roman"/>
          <w:shd w:fill="auto" w:val="clear"/>
        </w:rPr>
        <w:br/>
      </w:r>
      <w:r>
        <w:rPr>
          <w:rFonts w:ascii="Times New Roman" w:hAnsi="Times New Roman"/>
          <w:b/>
          <w:shd w:fill="auto" w:val="clear"/>
        </w:rPr>
        <w:t xml:space="preserve">Official Website: </w:t>
      </w:r>
      <w:hyperlink r:id="rId2" w:tgtFrame="_blank">
        <w:r>
          <w:rPr>
            <w:rFonts w:ascii="Times New Roman" w:hAnsi="Times New Roman"/>
            <w:b/>
            <w:color w:val="0A00FF"/>
            <w:u w:val="single"/>
            <w:shd w:fill="auto" w:val="clear"/>
          </w:rPr>
          <w:t>https://bcaward.computex.biz/</w:t>
        </w:r>
      </w:hyperlink>
      <w:r>
        <w:rPr>
          <w:rFonts w:ascii="Times New Roman" w:hAnsi="Times New Roman"/>
          <w:color w:val="0A00FF"/>
          <w:u w:val="single"/>
          <w:shd w:fill="auto" w:val="clear"/>
        </w:rPr>
        <w:t xml:space="preserve"> </w:t>
      </w:r>
    </w:p>
    <w:p>
      <w:pPr>
        <w:pStyle w:val="Style15"/>
        <w:spacing w:lineRule="auto" w:line="276"/>
        <w:rPr>
          <w:highlight w:val="none"/>
          <w:shd w:fill="auto" w:val="clear"/>
        </w:rPr>
      </w:pPr>
      <w:r>
        <w:rPr>
          <w:rFonts w:ascii="Times New Roman" w:hAnsi="Times New Roman"/>
          <w:shd w:fill="auto" w:val="clear"/>
        </w:rPr>
        <w:br/>
        <w:t>With the strongest show of trust and commitment to the international exhibition, a wide range of industry-leading global ICT companies have joined COMPUTEX 2023 to launch their latest solutions and exhibit their product catalogues. The official award of COMPUTEX, the Best Choice Award, has continued to be a reliable product procurement guide. This year, the winners of a Best Choice Award include, Acer Incorporated, ADATA Technology Co., Ltd., Amaryllo International, Inc., ASRock Inc., ASUSTek Computer Inc., AVerMedia Technologies, Inc., CHT Security Co., Ltd., Compal Electronics, Inc., Cypress Technology Co., Ltd., ELAN Microelectronics Corp., Frore Systems, FSP Technology Inc., Graid Technology, Inc., Jorjin Technologies Inc., K-Best Technology Inc., Maktar Inc., Micro-Star International, Mobile Pixels Inc, NVIDIA Corporation, Onyx Healthcare Inc., oToBrite Electronics, Inc., Quanta Cloud Technology, Realtek Semiconductor Corp., Trans Electric Co., Ltd, and Voltronic Power Technology Corporation.</w:t>
      </w:r>
    </w:p>
    <w:p>
      <w:pPr>
        <w:pStyle w:val="Style15"/>
        <w:spacing w:lineRule="auto" w:line="276"/>
        <w:rPr>
          <w:rFonts w:ascii="Times New Roman" w:hAnsi="Times New Roman"/>
          <w:highlight w:val="none"/>
          <w:shd w:fill="auto" w:val="clear"/>
        </w:rPr>
      </w:pPr>
      <w:r>
        <w:rPr>
          <w:rFonts w:ascii="Times New Roman" w:hAnsi="Times New Roman"/>
          <w:shd w:fill="auto" w:val="clear"/>
        </w:rPr>
      </w:r>
    </w:p>
    <w:p>
      <w:pPr>
        <w:pStyle w:val="3"/>
        <w:spacing w:lineRule="auto" w:line="276" w:before="0" w:after="0"/>
        <w:rPr>
          <w:highlight w:val="none"/>
          <w:shd w:fill="auto" w:val="clear"/>
        </w:rPr>
      </w:pPr>
      <w:r>
        <w:rPr>
          <w:rFonts w:ascii="Times New Roman" w:hAnsi="Times New Roman"/>
          <w:shd w:fill="auto" w:val="clear"/>
        </w:rPr>
        <w:t>2023 COMPUTEX Best Choice Award Winners List</w:t>
      </w:r>
    </w:p>
    <w:tbl>
      <w:tblPr>
        <w:tblW w:w="5000" w:type="pct"/>
        <w:jc w:val="left"/>
        <w:tblInd w:w="0" w:type="dxa"/>
        <w:tblLayout w:type="fixed"/>
        <w:tblCellMar>
          <w:top w:w="0" w:type="dxa"/>
          <w:left w:w="113" w:type="dxa"/>
          <w:bottom w:w="0" w:type="dxa"/>
          <w:right w:w="113" w:type="dxa"/>
        </w:tblCellMar>
        <w:tblLook w:firstRow="1" w:noVBand="1" w:lastRow="0" w:firstColumn="1" w:lastColumn="0" w:noHBand="0" w:val="04a0"/>
      </w:tblPr>
      <w:tblGrid>
        <w:gridCol w:w="1978"/>
        <w:gridCol w:w="1793"/>
        <w:gridCol w:w="2150"/>
        <w:gridCol w:w="2728"/>
        <w:gridCol w:w="985"/>
      </w:tblGrid>
      <w:tr>
        <w:trPr/>
        <w:tc>
          <w:tcPr>
            <w:tcW w:w="1978" w:type="dxa"/>
            <w:tcBorders>
              <w:top w:val="single" w:sz="2" w:space="0" w:color="808080"/>
              <w:bottom w:val="single" w:sz="2" w:space="0" w:color="808080"/>
              <w:right w:val="single" w:sz="2" w:space="0" w:color="808080"/>
            </w:tcBorders>
            <w:shd w:color="auto" w:fill="E7E9EB" w:val="clear"/>
          </w:tcPr>
          <w:p>
            <w:pPr>
              <w:pStyle w:val="Style21"/>
              <w:widowControl w:val="false"/>
              <w:spacing w:before="0" w:after="283"/>
              <w:rPr>
                <w:highlight w:val="none"/>
                <w:shd w:fill="auto" w:val="clear"/>
              </w:rPr>
            </w:pPr>
            <w:r>
              <w:rPr>
                <w:rFonts w:ascii="Times New Roman" w:hAnsi="Times New Roman"/>
                <w:b/>
                <w:color w:val="000000"/>
                <w:shd w:fill="auto" w:val="clear"/>
              </w:rPr>
              <w:t>Category</w:t>
            </w:r>
          </w:p>
        </w:tc>
        <w:tc>
          <w:tcPr>
            <w:tcW w:w="1793" w:type="dxa"/>
            <w:tcBorders>
              <w:top w:val="single" w:sz="2" w:space="0" w:color="808080"/>
              <w:bottom w:val="single" w:sz="2" w:space="0" w:color="808080"/>
              <w:right w:val="single" w:sz="2" w:space="0" w:color="808080"/>
            </w:tcBorders>
            <w:shd w:color="auto" w:fill="E7E9EB" w:val="clear"/>
          </w:tcPr>
          <w:p>
            <w:pPr>
              <w:pStyle w:val="Style21"/>
              <w:widowControl w:val="false"/>
              <w:spacing w:before="0" w:after="283"/>
              <w:rPr>
                <w:highlight w:val="none"/>
                <w:shd w:fill="auto" w:val="clear"/>
              </w:rPr>
            </w:pPr>
            <w:r>
              <w:rPr>
                <w:rFonts w:ascii="Times New Roman" w:hAnsi="Times New Roman"/>
                <w:b/>
                <w:color w:val="000000"/>
                <w:shd w:fill="auto" w:val="clear"/>
              </w:rPr>
              <w:t>Award</w:t>
            </w:r>
          </w:p>
        </w:tc>
        <w:tc>
          <w:tcPr>
            <w:tcW w:w="2150" w:type="dxa"/>
            <w:tcBorders>
              <w:top w:val="single" w:sz="2" w:space="0" w:color="808080"/>
              <w:bottom w:val="single" w:sz="2" w:space="0" w:color="808080"/>
              <w:right w:val="single" w:sz="2" w:space="0" w:color="808080"/>
            </w:tcBorders>
            <w:shd w:color="auto" w:fill="E7E9EB" w:val="clear"/>
          </w:tcPr>
          <w:p>
            <w:pPr>
              <w:pStyle w:val="Style21"/>
              <w:widowControl w:val="false"/>
              <w:spacing w:before="0" w:after="283"/>
              <w:rPr>
                <w:highlight w:val="none"/>
                <w:shd w:fill="auto" w:val="clear"/>
              </w:rPr>
            </w:pPr>
            <w:r>
              <w:rPr>
                <w:rFonts w:ascii="Times New Roman" w:hAnsi="Times New Roman"/>
                <w:b/>
                <w:color w:val="000000"/>
                <w:shd w:fill="auto" w:val="clear"/>
              </w:rPr>
              <w:t>Company Name</w:t>
            </w:r>
          </w:p>
        </w:tc>
        <w:tc>
          <w:tcPr>
            <w:tcW w:w="2728" w:type="dxa"/>
            <w:tcBorders>
              <w:top w:val="single" w:sz="2" w:space="0" w:color="808080"/>
              <w:bottom w:val="single" w:sz="2" w:space="0" w:color="808080"/>
              <w:right w:val="single" w:sz="2" w:space="0" w:color="808080"/>
            </w:tcBorders>
            <w:shd w:color="auto" w:fill="E7E9EB" w:val="clear"/>
          </w:tcPr>
          <w:p>
            <w:pPr>
              <w:pStyle w:val="Style21"/>
              <w:widowControl w:val="false"/>
              <w:spacing w:before="0" w:after="283"/>
              <w:rPr>
                <w:highlight w:val="none"/>
                <w:shd w:fill="auto" w:val="clear"/>
              </w:rPr>
            </w:pPr>
            <w:r>
              <w:rPr>
                <w:rFonts w:ascii="Times New Roman" w:hAnsi="Times New Roman"/>
                <w:b/>
                <w:color w:val="000000"/>
                <w:shd w:fill="auto" w:val="clear"/>
              </w:rPr>
              <w:t>Awarded Product</w:t>
            </w:r>
          </w:p>
        </w:tc>
        <w:tc>
          <w:tcPr>
            <w:tcW w:w="985" w:type="dxa"/>
            <w:tcBorders>
              <w:top w:val="single" w:sz="2" w:space="0" w:color="808080"/>
              <w:bottom w:val="single" w:sz="2" w:space="0" w:color="808080"/>
              <w:right w:val="single" w:sz="2" w:space="0" w:color="808080"/>
            </w:tcBorders>
            <w:shd w:color="auto" w:fill="E7E9EB" w:val="clear"/>
          </w:tcPr>
          <w:p>
            <w:pPr>
              <w:pStyle w:val="Style21"/>
              <w:widowControl w:val="false"/>
              <w:spacing w:before="0" w:after="283"/>
              <w:rPr>
                <w:highlight w:val="none"/>
                <w:shd w:fill="auto" w:val="clear"/>
              </w:rPr>
            </w:pPr>
            <w:r>
              <w:rPr>
                <w:rFonts w:ascii="Times New Roman" w:hAnsi="Times New Roman"/>
                <w:b/>
                <w:color w:val="000000"/>
                <w:shd w:fill="auto" w:val="clear"/>
              </w:rPr>
              <w:t>Booth#</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Gaming &amp; Entertainment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Best Choice of the Year</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Micro-Star International</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MEG Z790 GODLIKE</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L0818</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Gaming &amp; Entertainment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Micro-Star International</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MEG Z790 GODLIKE</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L0818</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 Zenbook Pro 14 Duo OLED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Acer Incorporated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Acer Aspire Vero 15</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M0820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AI, Big Data &amp; Cloud Computing</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NVIDIA Corporation</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NVIDIA DGX</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L0013</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AI, Big Data &amp; Cloud Computing</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Realtek Semiconductor Corp.</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Edge AI USB Camera Controller (RTS5863)</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3F00B</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AI, Big Data &amp; Cloud Computing</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Quanta Cloud Technology</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QCT POD HPC/AI Converged System</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3F00A</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Peripherals &amp; Accessories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Graid Technology,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SupremeRAID™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I1131a</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Metaverse &amp; XR Application</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Jorjin Technologies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J7i Light - AI &amp; AR Intelligent platform</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L1217a</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IC &amp; Components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Golden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Frore Systems</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AirJet Mini</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504C</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Networking &amp; Communication</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ROG Rapture GT-BE98 WiFi 7 Gaming Router</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Cyber Security</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CHT Security Co., Ltd.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SecuTex</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L1323</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 ExpertBook B9 OLED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ProArt Studiobook Pro 16/16/16 3D OLED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Gaming &amp; Entertainment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ROG Swift OLED PG49WCD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Gaming &amp; Entertainment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ASRock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ASRock Z790 LiveMixer</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L0609</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IoT Applications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Cypress Technology Co., Ltd.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4K Naked-eye 3D surgical medical image PC</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M0633a</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Acer Incorporated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Acer Swift Edge 16</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M0820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Smart City (public service)</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K-Best Technology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Fireman Security Management System</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K0110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Epidemic Prevention Technology</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 HealthHub MAX</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Gaming &amp; Entertainment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ROG MAXIMUS Z790 EXTREME</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Gaming &amp; Entertainment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Acer Incorporated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Predator Helios 3D 15 SpatialLabs Edition</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M0820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Smart City (public service)</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PINBO</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AI, Big Data &amp; Cloud Computing</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ADATA Technology Co., Ltd.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Premier Extreme SDXC SD 7.0 Express Card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L0810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Peripherals &amp; Accessories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Maktar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Nukii</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N002</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Micro-Star International</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Creator Z17 HX Studio</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L0818</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Metaverse &amp; XR Application</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NVIDIA Corporation</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NVIDIA Omniverse Enterprise</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L0013</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Onyx Healthcare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Medical Surgical Robotic AI Image Computing Platform</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M1003a</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Vehicle Technology &amp; Smart Cockpit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Voltronic Power Technology Corporation</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EVA 5460G DC EV charger</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N0814</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IC &amp; Components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Amaryllo International,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Biometric Camera Modules M2D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N0802</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Peripherals &amp; Accessories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Mobile Pixels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Geminos</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N0320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Metaverse &amp; XR Application</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Compal Electronics,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XR CUBE Open Metaverse Cloud Platform</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M0102</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Gaming &amp; Entertainment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AVerMedia Technologies,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GC575 Capture Card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L0604</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Other Applications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Trans Electric Co., Ltd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WiFi Dual-Moto-CAM with Quick Installation mechanism</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N1309</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Vehicle Technology &amp; Smart Cockpit</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ELAN Microelectronics Corp.</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E-Bus LKA/FCW ADAS Systems</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M1001</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IoT Applications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Category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oToBrite Electronics,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AI Industrial Grade Time-of-Flight 3D Depth Sensing Camera</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M0830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Sustainable Tech Special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ASUSTek Computer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ASUS ExpertBook B9 OLED</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M0510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Computer &amp; System</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Sustainable Tech Special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Acer Incorporated</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Acer Aspire Vero 15</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M0820</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IC &amp; Components</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Sustainable Tech Special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FSP Technology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HYDRO Ti PRO</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L0411a</w:t>
            </w:r>
          </w:p>
        </w:tc>
      </w:tr>
      <w:tr>
        <w:trPr/>
        <w:tc>
          <w:tcPr>
            <w:tcW w:w="197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Metaverse &amp; XR Application</w:t>
            </w:r>
          </w:p>
        </w:tc>
        <w:tc>
          <w:tcPr>
            <w:tcW w:w="1793"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Sustainable Tech Special Award</w:t>
            </w:r>
          </w:p>
        </w:tc>
        <w:tc>
          <w:tcPr>
            <w:tcW w:w="2150"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Compal Electronics, Inc.</w:t>
            </w:r>
          </w:p>
        </w:tc>
        <w:tc>
          <w:tcPr>
            <w:tcW w:w="2728"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APAL 5G MR Glasses</w:t>
            </w:r>
          </w:p>
        </w:tc>
        <w:tc>
          <w:tcPr>
            <w:tcW w:w="985" w:type="dxa"/>
            <w:tcBorders>
              <w:left w:val="single" w:sz="2" w:space="0" w:color="808080"/>
              <w:bottom w:val="single" w:sz="2" w:space="0" w:color="808080"/>
              <w:right w:val="single" w:sz="2" w:space="0" w:color="808080"/>
            </w:tcBorders>
            <w:vAlign w:val="center"/>
          </w:tcPr>
          <w:p>
            <w:pPr>
              <w:pStyle w:val="Style21"/>
              <w:widowControl w:val="false"/>
              <w:spacing w:before="0" w:after="283"/>
              <w:rPr>
                <w:highlight w:val="none"/>
                <w:shd w:fill="auto" w:val="clear"/>
              </w:rPr>
            </w:pPr>
            <w:r>
              <w:rPr>
                <w:rFonts w:ascii="Times New Roman" w:hAnsi="Times New Roman"/>
                <w:shd w:fill="auto" w:val="clear"/>
              </w:rPr>
              <w:t>M0102</w:t>
            </w:r>
          </w:p>
        </w:tc>
      </w:tr>
    </w:tbl>
    <w:p>
      <w:pPr>
        <w:pStyle w:val="3"/>
        <w:spacing w:lineRule="auto" w:line="276" w:before="0" w:after="0"/>
        <w:rPr>
          <w:rFonts w:ascii="Times New Roman" w:hAnsi="Times New Roman"/>
          <w:highlight w:val="none"/>
          <w:shd w:fill="auto" w:val="clear"/>
        </w:rPr>
      </w:pPr>
      <w:r>
        <w:rPr>
          <w:rFonts w:ascii="Times New Roman" w:hAnsi="Times New Roman"/>
          <w:shd w:fill="auto" w:val="clear"/>
        </w:rPr>
      </w:r>
    </w:p>
    <w:p>
      <w:pPr>
        <w:pStyle w:val="3"/>
        <w:spacing w:lineRule="auto" w:line="276" w:before="0" w:after="0"/>
        <w:rPr>
          <w:highlight w:val="none"/>
          <w:shd w:fill="auto" w:val="clear"/>
        </w:rPr>
      </w:pPr>
      <w:r>
        <w:rPr>
          <w:rFonts w:ascii="Times New Roman" w:hAnsi="Times New Roman"/>
          <w:shd w:fill="auto" w:val="clear"/>
        </w:rPr>
        <w:t>About Taipei Computer Association (TCA)</w:t>
      </w:r>
    </w:p>
    <w:p>
      <w:pPr>
        <w:pStyle w:val="Style15"/>
        <w:spacing w:lineRule="auto" w:line="276" w:before="0" w:after="283"/>
        <w:rPr>
          <w:highlight w:val="none"/>
          <w:shd w:fill="auto" w:val="clear"/>
        </w:rPr>
      </w:pPr>
      <w:r>
        <w:rPr>
          <w:rFonts w:ascii="Times New Roman" w:hAnsi="Times New Roman"/>
          <w:shd w:fill="auto" w:val="clear"/>
        </w:rPr>
        <w:t xml:space="preserve">Established in 1974, the Taipei Computer Association (TCA) is the leading industrial organization in Taiwan. Its 4,000 members engages various segments of the information communication technology (ICT) industry, generating over 80% of the total production value of Taiwan’s ICT industry. TCA facilitates the growth of the ICT industry by continuously seeking new opportunities, and acting as a bridge to the government, academic, general public, as well as a window for international professional bodies. Trade events such as the Taipei Game Show, Smart City Summit &amp; Expo, COMPUTEX TAIPEI, InnoVEX, IT Month, and Edtech Taiwan. TCA offices are located in Taipei, Taichung and Kaohsiung as well as overseas offices in China, Japan and India.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Unicode MS">
    <w:charset w:val="88"/>
    <w:family w:val="swiss"/>
    <w:pitch w:val="variable"/>
  </w:font>
  <w:font w:name="Liberation Serif">
    <w:altName w:val="Times New Roman"/>
    <w:charset w:val="88"/>
    <w:family w:val="swiss"/>
    <w:pitch w:val="variable"/>
  </w:font>
  <w:font w:name="Liberation Sans">
    <w:altName w:val="Arial"/>
    <w:charset w:val="88"/>
    <w:family w:val="swiss"/>
    <w:pitch w:val="variable"/>
  </w:font>
  <w:font w:name="Liberation Sans">
    <w:altName w:val="Arial"/>
    <w:charset w:val="88"/>
    <w:family w:val="roman"/>
    <w:pitch w:val="variable"/>
  </w:font>
  <w:font w:name="Times New Roman">
    <w:charset w:val="88"/>
    <w:family w:val="roman"/>
    <w:pitch w:val="variable"/>
  </w:font>
  <w:font w:name="Times New Roman">
    <w:charset w:val="88"/>
    <w:family w:val="swiss"/>
    <w:pitch w:val="variable"/>
  </w:font>
</w:fonts>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1">
    <w:name w:val="Heading 1"/>
    <w:basedOn w:val="Style19"/>
    <w:next w:val="Style15"/>
    <w:uiPriority w:val="9"/>
    <w:qFormat/>
    <w:pPr>
      <w:outlineLvl w:val="0"/>
    </w:pPr>
    <w:rPr>
      <w:rFonts w:ascii="Liberation Sans Unicode MS" w:hAnsi="Liberation Sans Unicode MS"/>
      <w:b/>
      <w:bCs/>
      <w:sz w:val="48"/>
      <w:szCs w:val="44"/>
    </w:rPr>
  </w:style>
  <w:style w:type="paragraph" w:styleId="2">
    <w:name w:val="Heading 2"/>
    <w:basedOn w:val="Style19"/>
    <w:next w:val="Style15"/>
    <w:uiPriority w:val="9"/>
    <w:unhideWhenUsed/>
    <w:qFormat/>
    <w:pPr>
      <w:spacing w:before="200" w:after="120"/>
      <w:outlineLvl w:val="1"/>
    </w:pPr>
    <w:rPr>
      <w:rFonts w:ascii="Liberation Serif" w:hAnsi="Liberation Serif"/>
      <w:b/>
      <w:bCs/>
      <w:sz w:val="36"/>
      <w:szCs w:val="36"/>
    </w:rPr>
  </w:style>
  <w:style w:type="paragraph" w:styleId="3">
    <w:name w:val="Heading 3"/>
    <w:basedOn w:val="Style19"/>
    <w:next w:val="Style15"/>
    <w:uiPriority w:val="9"/>
    <w:unhideWhenUsed/>
    <w:qFormat/>
    <w:pPr>
      <w:spacing w:before="140" w:after="120"/>
      <w:outlineLvl w:val="2"/>
    </w:pPr>
    <w:rPr>
      <w:rFonts w:ascii="Liberation Serif" w:hAnsi="Liberation Serif"/>
      <w:b/>
      <w:bCs/>
    </w:rPr>
  </w:style>
  <w:style w:type="character" w:styleId="DefaultParagraphFont" w:default="1">
    <w:name w:val="Default Paragraph Font"/>
    <w:uiPriority w:val="1"/>
    <w:semiHidden/>
    <w:unhideWhenUsed/>
    <w:qFormat/>
    <w:rPr/>
  </w:style>
  <w:style w:type="character" w:styleId="Style11" w:customStyle="1">
    <w:name w:val="尾註字元"/>
    <w:qFormat/>
    <w:rPr/>
  </w:style>
  <w:style w:type="character" w:styleId="Style12" w:customStyle="1">
    <w:name w:val="註腳字元"/>
    <w:qFormat/>
    <w:rPr/>
  </w:style>
  <w:style w:type="character" w:styleId="Style13" w:customStyle="1">
    <w:name w:val="網際網路連結"/>
    <w:rPr>
      <w:color w:val="000080"/>
      <w:u w:val="single"/>
    </w:rPr>
  </w:style>
  <w:style w:type="paragraph" w:styleId="Style14">
    <w:name w:val="標題"/>
    <w:basedOn w:val="Normal"/>
    <w:next w:val="Style15"/>
    <w:qFormat/>
    <w:pPr>
      <w:keepNext w:val="true"/>
      <w:spacing w:before="240" w:after="120"/>
    </w:pPr>
    <w:rPr>
      <w:rFonts w:ascii="Liberation Sans" w:hAnsi="Liberation Sans" w:eastAsia="微軟正黑體" w:cs="Lucida Sans"/>
      <w:sz w:val="28"/>
      <w:szCs w:val="28"/>
    </w:rPr>
  </w:style>
  <w:style w:type="paragraph" w:styleId="Style15">
    <w:name w:val="Body Text"/>
    <w:basedOn w:val="Normal"/>
    <w:pPr>
      <w:spacing w:before="0" w:after="283"/>
    </w:pPr>
    <w:rPr/>
  </w:style>
  <w:style w:type="paragraph" w:styleId="Style16">
    <w:name w:val="List"/>
    <w:basedOn w:val="Style15"/>
    <w:pPr/>
    <w:rPr/>
  </w:style>
  <w:style w:type="paragraph" w:styleId="Style17">
    <w:name w:val="Caption"/>
    <w:basedOn w:val="Normal"/>
    <w:qFormat/>
    <w:pPr>
      <w:suppressLineNumbers/>
      <w:spacing w:before="120" w:after="120"/>
    </w:pPr>
    <w:rPr>
      <w:rFonts w:cs="Lucida Sans"/>
      <w:i/>
      <w:iCs/>
      <w:sz w:val="24"/>
      <w:szCs w:val="24"/>
    </w:rPr>
  </w:style>
  <w:style w:type="paragraph" w:styleId="Style18" w:customStyle="1">
    <w:name w:val="索引"/>
    <w:basedOn w:val="Normal"/>
    <w:qFormat/>
    <w:pPr>
      <w:suppressLineNumbers/>
    </w:pPr>
    <w:rPr/>
  </w:style>
  <w:style w:type="paragraph" w:styleId="Style19">
    <w:name w:val="Title"/>
    <w:basedOn w:val="Normal"/>
    <w:next w:val="Style15"/>
    <w:uiPriority w:val="10"/>
    <w:qFormat/>
    <w:pPr>
      <w:keepNext w:val="true"/>
      <w:spacing w:before="240" w:after="283"/>
    </w:pPr>
    <w:rPr>
      <w:rFonts w:ascii="Liberation Sans" w:hAnsi="Liberation Sans"/>
      <w:sz w:val="28"/>
      <w:szCs w:val="28"/>
    </w:rPr>
  </w:style>
  <w:style w:type="paragraph" w:styleId="Caption">
    <w:name w:val="caption"/>
    <w:basedOn w:val="Normal"/>
    <w:qFormat/>
    <w:pPr>
      <w:suppressLineNumbers/>
      <w:spacing w:before="120" w:after="120"/>
    </w:pPr>
    <w:rPr>
      <w:i/>
      <w:iCs/>
    </w:rPr>
  </w:style>
  <w:style w:type="paragraph" w:styleId="Style20" w:customStyle="1">
    <w:name w:val="水平線"/>
    <w:basedOn w:val="Normal"/>
    <w:next w:val="Style15"/>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Style21" w:customStyle="1">
    <w:name w:val="表格內容"/>
    <w:basedOn w:val="Style15"/>
    <w:qFormat/>
    <w:pPr/>
    <w:rPr/>
  </w:style>
  <w:style w:type="paragraph" w:styleId="Style22" w:customStyle="1">
    <w:name w:val="頁首與頁尾"/>
    <w:basedOn w:val="Normal"/>
    <w:qFormat/>
    <w:pPr>
      <w:suppressLineNumbers/>
      <w:tabs>
        <w:tab w:val="clear" w:pos="1134"/>
        <w:tab w:val="center" w:pos="4819" w:leader="none"/>
        <w:tab w:val="right" w:pos="9638" w:leader="none"/>
      </w:tabs>
    </w:pPr>
    <w:rPr/>
  </w:style>
  <w:style w:type="paragraph" w:styleId="Style23">
    <w:name w:val="Footer"/>
    <w:basedOn w:val="Normal"/>
    <w:pPr>
      <w:suppressLineNumbers/>
      <w:tabs>
        <w:tab w:val="clear" w:pos="1134"/>
        <w:tab w:val="center" w:pos="4818" w:leader="none"/>
        <w:tab w:val="right" w:pos="9637" w:leader="none"/>
      </w:tabs>
    </w:pPr>
    <w:rPr/>
  </w:style>
  <w:style w:type="paragraph" w:styleId="Style24">
    <w:name w:val="Header"/>
    <w:basedOn w:val="Normal"/>
    <w:pPr>
      <w:suppressLineNumbers/>
      <w:tabs>
        <w:tab w:val="clear" w:pos="1134"/>
        <w:tab w:val="center" w:pos="4818" w:leader="none"/>
        <w:tab w:val="right" w:pos="9637" w:leader="none"/>
      </w:tabs>
    </w:pPr>
    <w:rPr/>
  </w:style>
  <w:style w:type="paragraph" w:styleId="Style25" w:customStyle="1">
    <w:name w:val="表格標題"/>
    <w:basedOn w:val="Style21"/>
    <w:qFormat/>
    <w:pPr>
      <w:suppressLineNumbers/>
      <w:jc w:val="center"/>
    </w:pPr>
    <w:rPr>
      <w:b/>
      <w:bCs/>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caward.computex.bi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LibreOffice/7.3.3.2$Windows_X86_64 LibreOffice_project/d1d0ea68f081ee2800a922cac8f79445e4603348</Application>
  <AppVersion>15.0000</AppVersion>
  <Pages>4</Pages>
  <Words>1054</Words>
  <Characters>6144</Characters>
  <CharactersWithSpaces>6992</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2023-05-26T02:17:00Z</dcterms:created>
  <dc:creator/>
  <dc:description/>
  <dc:language>zh-TW</dc:language>
  <cp:lastModifiedBy/>
  <dcterms:modified xsi:type="dcterms:W3CDTF">2023-05-26T11:08:44Z</dcterms:modified>
  <cp:revision>4</cp:revision>
  <dc:subject/>
  <dc:title>COMPUTEX 2023 Best Choice of the Year Awarded to MSI Z790 GODLIKE</dc:title>
</cp:coreProperties>
</file>

<file path=docProps/custom.xml><?xml version="1.0" encoding="utf-8"?>
<Properties xmlns="http://schemas.openxmlformats.org/officeDocument/2006/custom-properties" xmlns:vt="http://schemas.openxmlformats.org/officeDocument/2006/docPropsVTypes"/>
</file>