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COMPUTEX 2023 Best Choice of the Year Diberikan kepada MSI Z790 GODLIKE</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Pemenang Best Choice Award akan Diumumkan pada 30 Mei &amp; Ditampilkan pada Paviliun Best Choice Award selama Pameran</w:t>
      </w:r>
    </w:p>
    <w:p>
      <w:pPr>
        <w:pStyle w:val="Normal"/>
        <w:rPr>
          <w:sz w:val="24"/>
          <w:szCs w:val="24"/>
          <w:lang w:val="en-US" w:eastAsia="en-US"/>
        </w:rPr>
      </w:pPr>
      <w:r>
        <w:rPr>
          <w:lang w:val="en-US" w:eastAsia="en-US"/>
        </w:rPr>
        <w:br/>
      </w:r>
      <w:r>
        <w:rPr>
          <w:b/>
          <w:bCs/>
          <w:lang w:val="en-US" w:eastAsia="en-US"/>
        </w:rPr>
        <w:t xml:space="preserve">Taipei, Taiwan, 30 Mei 2023 - </w:t>
      </w:r>
      <w:r>
        <w:rPr>
          <w:lang w:val="en-US" w:eastAsia="en-US"/>
        </w:rPr>
        <w:t>Taipei Computer Association (TCA), organisasi industri terkemuka di Taiwan dan promotor dari pameran ICT B2B terkemuka di Asia, menyatakan COMPUTEX TAIPEI 2023 secara resmi dibuka pada Selasa, 30 Mei dengan pengumuman pemenang COMPUTEX 2023 Best Choice Award di Taipei Nangang Exhibition Center, aula 1, lantai 4, daerah lobi M.</w:t>
        <w:br/>
        <w:br/>
        <w:t>Acara pameran terbuka dari Selasa, 30 Mei sampai Jumat, 2 Juni 2023, di mana para tamu dan pengunjung dipersilakan untuk bergabung di paviliun Best Choice Award no. stan L0307a untuk melihat produk-produk pemenang.</w:t>
        <w:br/>
        <w:br/>
        <w:t>Dari 37 produk yang diberi penghargaan tahun ini, penghargaan tertinggi, Best Choice of the Year Award, dianugerahkan kepada motherboard MSI Z790 GODLIKE untuk desain, performa, dan inovasi teknis yang luar biasa.</w:t>
        <w:br/>
        <w:br/>
        <w:t>Tahun ini, Best Choice Award berfokus pada 15 kategori, termasuk: Vehicle Tech &amp; Smart Cockpit, metaverse &amp; aplikasi XR, AI, ESG dan banyak lagi. Kategori-kategori ini mengikuti tren ICT global saat ini dan dinilai oleh panel juri independen dari perwakilan pemerintah, akademisi dan peneliti untuk memastikan kenetralan dan produk pemenang benar-benar mewakili yang terbaik dari COMPUTEX TAIPEI 2023.</w:t>
        <w:br/>
      </w:r>
    </w:p>
    <w:p>
      <w:pPr>
        <w:pStyle w:val="Normal"/>
        <w:jc w:val="center"/>
        <w:rPr>
          <w:sz w:val="24"/>
          <w:szCs w:val="24"/>
          <w:lang w:val="en-US" w:eastAsia="en-US"/>
        </w:rPr>
      </w:pPr>
      <w:r>
        <w:rPr>
          <w:b/>
          <w:bCs/>
          <w:lang w:val="en-US" w:eastAsia="en-US"/>
        </w:rPr>
        <w:t>Daftar Pemenang COMPUTEX 2023 Best Choice</w:t>
        <w:br/>
        <w:t xml:space="preserve">Situs Web Resmi: </w:t>
      </w:r>
      <w:hyperlink r:id="rId2" w:tgtFrame="_blank">
        <w:r>
          <w:rPr>
            <w:b/>
            <w:bCs/>
            <w:color w:val="0000EE"/>
            <w:u w:val="single" w:color="0000EE"/>
            <w:lang w:val="en-US" w:eastAsia="en-US"/>
          </w:rPr>
          <w:t>https://bcaward.computex.biz/</w:t>
        </w:r>
      </w:hyperlink>
      <w:r>
        <w:rPr>
          <w:lang w:val="en-US" w:eastAsia="en-US"/>
        </w:rPr>
        <w:t xml:space="preserve"> </w:t>
      </w:r>
    </w:p>
    <w:p>
      <w:pPr>
        <w:pStyle w:val="Normal"/>
        <w:rPr>
          <w:sz w:val="24"/>
          <w:szCs w:val="24"/>
          <w:lang w:val="en-US" w:eastAsia="en-US"/>
        </w:rPr>
      </w:pPr>
      <w:r>
        <w:rPr>
          <w:lang w:val="en-US" w:eastAsia="en-US"/>
        </w:rPr>
        <w:br/>
        <w:t>Dengan menunjukkan kepercayaan dan komitmen yang kuat pada pameran internasional, berbagai perusahaan industri ICT global terkemuka telah bergabung dengan COMPUTEX 2023 untuk meluncurkan solusi-solusi termutakhir mereka dan memamerkan katalog produk mereka. Penghargaan resmi dari COMPUTEX, Best Choice Award, tetap menjadi panduan pengadaan produk yang terpercaya. Tahun ini, para pemenang Best Choice Award termasuk, Acer Incorporated, ADATA Technology Co., Ltd., Amaryllo International, Inc., ASRock Inc., ASUSTek Computer Inc., AVerMedia Technologies, Inc., CHT Security Co., Ltd., Compal Electronics, Inc., Cypress Technology Co., Ltd., ELAN Microelectronics Corp., Frore Systems, FSP Technology Inc., Graid Technology, Inc., Jorjin Technologies Inc., K-Best Technology Inc., Maktar Inc., Micro-Star International, Mobile Pixels Inc, NVIDIA Corporation, Onyx Healthcare Inc., oToBrite Electronics, Inc., Quanta Cloud Technology, Realtek Semiconductor Corp., Trans Electric Co., Ltd, dan Voltronic Power Technology Corporation.</w:t>
        <w:br/>
      </w:r>
    </w:p>
    <w:p>
      <w:pPr>
        <w:pStyle w:val="3"/>
        <w:keepNext w:val="false"/>
        <w:pBdr/>
        <w:spacing w:before="0" w:after="0"/>
        <w:outlineLvl w:val="9"/>
        <w:rPr>
          <w:sz w:val="26"/>
          <w:szCs w:val="26"/>
        </w:rPr>
      </w:pPr>
      <w:r>
        <w:rPr>
          <w:rFonts w:eastAsia="Times New Roman" w:cs="Times New Roman"/>
          <w:i w:val="false"/>
          <w:sz w:val="26"/>
          <w:szCs w:val="26"/>
          <w:lang w:val="en-US" w:eastAsia="en-US"/>
        </w:rPr>
        <w:t>Daftar Pemenang Best Choice Award COMPUTEX 2023</w:t>
      </w:r>
    </w:p>
    <w:tbl>
      <w:tblPr>
        <w:tblW w:w="9352" w:type="dxa"/>
        <w:jc w:val="left"/>
        <w:tblInd w:w="68" w:type="dxa"/>
        <w:tblLayout w:type="fixed"/>
        <w:tblCellMar>
          <w:top w:w="68" w:type="dxa"/>
          <w:left w:w="60" w:type="dxa"/>
          <w:bottom w:w="68" w:type="dxa"/>
          <w:right w:w="68" w:type="dxa"/>
        </w:tblCellMar>
      </w:tblPr>
      <w:tblGrid>
        <w:gridCol w:w="1704"/>
        <w:gridCol w:w="1644"/>
        <w:gridCol w:w="2316"/>
        <w:gridCol w:w="2844"/>
        <w:gridCol w:w="844"/>
      </w:tblGrid>
      <w:tr>
        <w:trPr/>
        <w:tc>
          <w:tcPr>
            <w:tcW w:w="1704" w:type="dxa"/>
            <w:tcBorders>
              <w:top w:val="single" w:sz="6" w:space="0" w:color="808080"/>
              <w:left w:val="single" w:sz="6" w:space="0" w:color="808080"/>
              <w:bottom w:val="single" w:sz="6" w:space="0" w:color="808080"/>
              <w:right w:val="single" w:sz="6" w:space="0" w:color="808080"/>
            </w:tcBorders>
            <w:shd w:color="auto" w:fill="E7E9EB" w:val="clear"/>
            <w:vAlign w:val="center"/>
          </w:tcPr>
          <w:p>
            <w:pPr>
              <w:pStyle w:val="Normal"/>
              <w:widowControl w:val="false"/>
              <w:shd w:val="clear" w:color="auto" w:fill="E7E9EB"/>
              <w:spacing w:before="240" w:after="240"/>
              <w:jc w:val="left"/>
              <w:rPr>
                <w:sz w:val="24"/>
                <w:szCs w:val="24"/>
                <w:lang w:val="en-US" w:eastAsia="en-US"/>
              </w:rPr>
            </w:pPr>
            <w:r>
              <w:rPr>
                <w:rFonts w:eastAsia="Calibri" w:cs="Calibri" w:ascii="Calibri" w:hAnsi="Calibri"/>
                <w:b/>
                <w:bCs/>
                <w:color w:val="000000"/>
                <w:sz w:val="27"/>
                <w:szCs w:val="27"/>
                <w:lang w:val="en-US" w:eastAsia="en-US"/>
              </w:rPr>
              <w:t>Kategori</w:t>
            </w:r>
          </w:p>
        </w:tc>
        <w:tc>
          <w:tcPr>
            <w:tcW w:w="1644" w:type="dxa"/>
            <w:tcBorders>
              <w:top w:val="single" w:sz="6" w:space="0" w:color="808080"/>
              <w:bottom w:val="single" w:sz="6" w:space="0" w:color="808080"/>
              <w:right w:val="single" w:sz="6" w:space="0" w:color="808080"/>
            </w:tcBorders>
            <w:shd w:color="auto" w:fill="E7E9EB" w:val="clear"/>
            <w:vAlign w:val="center"/>
          </w:tcPr>
          <w:p>
            <w:pPr>
              <w:pStyle w:val="Normal"/>
              <w:widowControl w:val="false"/>
              <w:shd w:val="clear" w:color="auto" w:fill="E7E9EB"/>
              <w:spacing w:before="240" w:after="240"/>
              <w:jc w:val="left"/>
              <w:rPr>
                <w:sz w:val="24"/>
                <w:szCs w:val="24"/>
                <w:lang w:val="en-US" w:eastAsia="en-US"/>
              </w:rPr>
            </w:pPr>
            <w:r>
              <w:rPr>
                <w:rFonts w:eastAsia="Calibri" w:cs="Calibri" w:ascii="Calibri" w:hAnsi="Calibri"/>
                <w:b/>
                <w:bCs/>
                <w:color w:val="000000"/>
                <w:sz w:val="27"/>
                <w:szCs w:val="27"/>
                <w:lang w:val="en-US" w:eastAsia="en-US"/>
              </w:rPr>
              <w:t>Penghargaan</w:t>
            </w:r>
          </w:p>
        </w:tc>
        <w:tc>
          <w:tcPr>
            <w:tcW w:w="2316" w:type="dxa"/>
            <w:tcBorders>
              <w:top w:val="single" w:sz="6" w:space="0" w:color="808080"/>
              <w:bottom w:val="single" w:sz="6" w:space="0" w:color="808080"/>
              <w:right w:val="single" w:sz="6" w:space="0" w:color="808080"/>
            </w:tcBorders>
            <w:shd w:color="auto" w:fill="E7E9EB" w:val="clear"/>
            <w:vAlign w:val="center"/>
          </w:tcPr>
          <w:p>
            <w:pPr>
              <w:pStyle w:val="Normal"/>
              <w:widowControl w:val="false"/>
              <w:shd w:val="clear" w:color="auto" w:fill="E7E9EB"/>
              <w:spacing w:before="240" w:after="240"/>
              <w:jc w:val="left"/>
              <w:rPr>
                <w:sz w:val="24"/>
                <w:szCs w:val="24"/>
                <w:lang w:val="en-US" w:eastAsia="en-US"/>
              </w:rPr>
            </w:pPr>
            <w:r>
              <w:rPr>
                <w:rFonts w:eastAsia="Calibri" w:cs="Calibri" w:ascii="Calibri" w:hAnsi="Calibri"/>
                <w:b/>
                <w:bCs/>
                <w:color w:val="000000"/>
                <w:sz w:val="27"/>
                <w:szCs w:val="27"/>
                <w:lang w:val="en-US" w:eastAsia="en-US"/>
              </w:rPr>
              <w:t>Nama Perusahaan</w:t>
            </w:r>
          </w:p>
        </w:tc>
        <w:tc>
          <w:tcPr>
            <w:tcW w:w="2844" w:type="dxa"/>
            <w:tcBorders>
              <w:top w:val="single" w:sz="6" w:space="0" w:color="808080"/>
              <w:bottom w:val="single" w:sz="6" w:space="0" w:color="808080"/>
              <w:right w:val="single" w:sz="6" w:space="0" w:color="808080"/>
            </w:tcBorders>
            <w:shd w:color="auto" w:fill="E7E9EB" w:val="clear"/>
            <w:vAlign w:val="center"/>
          </w:tcPr>
          <w:p>
            <w:pPr>
              <w:pStyle w:val="Normal"/>
              <w:widowControl w:val="false"/>
              <w:shd w:val="clear" w:color="auto" w:fill="E7E9EB"/>
              <w:spacing w:before="240" w:after="240"/>
              <w:jc w:val="left"/>
              <w:rPr>
                <w:sz w:val="24"/>
                <w:szCs w:val="24"/>
                <w:lang w:val="en-US" w:eastAsia="en-US"/>
              </w:rPr>
            </w:pPr>
            <w:r>
              <w:rPr>
                <w:rFonts w:eastAsia="Calibri" w:cs="Calibri" w:ascii="Calibri" w:hAnsi="Calibri"/>
                <w:b/>
                <w:bCs/>
                <w:color w:val="000000"/>
                <w:sz w:val="27"/>
                <w:szCs w:val="27"/>
                <w:lang w:val="en-US" w:eastAsia="en-US"/>
              </w:rPr>
              <w:t>Produk yang Diberi Penghargaan</w:t>
            </w:r>
          </w:p>
        </w:tc>
        <w:tc>
          <w:tcPr>
            <w:tcW w:w="844" w:type="dxa"/>
            <w:tcBorders>
              <w:top w:val="single" w:sz="6" w:space="0" w:color="808080"/>
              <w:bottom w:val="single" w:sz="6" w:space="0" w:color="808080"/>
              <w:right w:val="single" w:sz="6" w:space="0" w:color="808080"/>
            </w:tcBorders>
            <w:shd w:color="auto" w:fill="E7E9EB" w:val="clear"/>
            <w:vAlign w:val="center"/>
          </w:tcPr>
          <w:p>
            <w:pPr>
              <w:pStyle w:val="Normal"/>
              <w:widowControl w:val="false"/>
              <w:shd w:val="clear" w:color="auto" w:fill="E7E9EB"/>
              <w:spacing w:before="240" w:after="240"/>
              <w:jc w:val="left"/>
              <w:rPr>
                <w:sz w:val="24"/>
                <w:szCs w:val="24"/>
                <w:lang w:val="en-US" w:eastAsia="en-US"/>
              </w:rPr>
            </w:pPr>
            <w:r>
              <w:rPr>
                <w:rFonts w:eastAsia="Calibri" w:cs="Calibri" w:ascii="Calibri" w:hAnsi="Calibri"/>
                <w:b/>
                <w:bCs/>
                <w:color w:val="000000"/>
                <w:sz w:val="27"/>
                <w:szCs w:val="27"/>
                <w:lang w:val="en-US" w:eastAsia="en-US"/>
              </w:rPr>
              <w:t>No. Stan</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Gaming &amp; Entertainment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Best Choice of the Year</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Micro-Star International</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MEG Z790 GODLIKE</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L0818</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Gaming &amp; Entertainment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Golden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Micro-Star International</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MEG Z790 GODLIKE</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L0818</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Komputer &amp; Sistem</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Golden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ASUSTek Computer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 Zenbook Pro 14 Duo OLED</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M0510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Komputer &amp; Sistem</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Golden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Acer Incorporated</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Acer Aspire Vero 15</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M0820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AI, Big Data &amp; Cloud Computing</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Golden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NVIDIA Corporation</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NVIDIA DGX</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L0013</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AI, Big Data &amp; Cloud Computing</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Golden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Realtek Semiconductor Corp.</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Edge AI USB Camera Controller (RTS5863)</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3F00B</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AI, Big Data &amp; Cloud Computing</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Golden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Quanta Cloud Technology</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QCT POD HPC/AI Converged System</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3F00A</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Periferal &amp; Aksesori</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Golden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Graid Technology,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SupremeRAID™</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I1131a</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Metaverse &amp; Aplikasi XR</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Golden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Jorjin Technologies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J7i Light - AI &amp; AR Intelligent platform</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L1217a</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IC &amp; Komponen</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Golden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Frore Systems</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AirJet Mini</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504C</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Jaringan &amp; Komunikasi</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ASUSTek Computer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ROG Rapture GT-BE98 WiFi 7 Gaming Router</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M0510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Cyber Security</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CHT Security Co., Ltd.</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SecuTex</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L1323</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Komputer &amp; Sistem</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ASUSTek Computer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 ExpertBook B9 OLED</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M0510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Komputer &amp; Sistem</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ASUSTek Computer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ProArt Studiobook Pro 16/16/16 3D OLED</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M0510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Gaming &amp; Entertainment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ASUSTek Computer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ROG Swift OLED PG49WCD</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M0510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Gaming &amp; Entertainment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ASRock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ASRock Z790 LiveMixer</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L0609</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Aplikasi IoT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Cypress Technology Co., Ltd.</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4K Naked-eye 3D surgical medical image PC</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M0633a</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Komputer &amp; Sistem</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Acer Incorporated</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Acer Swift Edge 16</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M0820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Smart City (layanan publik)</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K-Best Technology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Fireman Security Management System</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K0110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Teknologi Pencegahan Epidemi</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ASUSTek Computer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 HealthHub MAX</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M0510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Gaming &amp; Entertainment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ASUSTek Computer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ROG MAXIMUS Z790 EXTREME</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M0510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Gaming &amp; Entertainment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Acer Incorporated</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Predator Helios 3D 15 SpatialLabs Edition</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M0820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Smart City (layanan publik)</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ASUSTek Computer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PINBO</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M0510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AI, Big Data &amp; Cloud Computing</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ADATA Technology Co., Ltd.</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Premier Extreme SDXC SD 7.0 Express Card</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L0810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Periferal &amp; Aksesori</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Maktar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Nukii</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N002</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Komputer &amp; Sistem</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Micro-Star International</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Creator Z17 HX Studio</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L0818</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Metaverse &amp; Aplikasi XR</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NVIDIA Corporation</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NVIDIA Omniverse Enterprise</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L0013</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Komputer &amp; Sistem</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Onyx Healthcare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Medical Surgical Robotic AI Image Computing Platform</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M1003a</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Vehicle Technology &amp; Smart Cockpit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Voltronic Power Technology Corporation</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EVA 5460G DC EV charger</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N0814</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IC &amp; Komponen</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Amaryllo International,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Biometric Camera Modules M2D</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N0802</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Periferal &amp; Aksesori</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Mobile Pixels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Geminos</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N0320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Metaverse &amp; Aplikasi XR</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Compal Electronics,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XR CUBE Open Metaverse Cloud Platform</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M0102</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Gaming &amp; Entertainment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AVerMedia Technologies,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GC575 Capture Card</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L0604</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Aplikasi lainnya</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Trans Electric Co., Ltd</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WiFi Dual-Moto-CAM with Quick Installation mechanism</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N1309</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Vehicle Technology &amp; Smart Cockpit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ELAN Microelectronics Corp.</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E-Bus LKA/FCW ADAS Systems</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M1001</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Aplikasi IoT</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Category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oToBrite Electronics,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AI Industrial Grade Time-of-Flight 3D Depth Sensing Camera</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M0830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Komputer &amp; Sistem</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Sustainable Tech Special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ASUSTek Computer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ASUS ExpertBook B9 OLED</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M0510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Komputer &amp; Sistem</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Sustainable Tech Special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Acer Incorporated</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Acer Aspire Vero 15</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M0820</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IC &amp; Komponen</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Sustainable Tech Special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FSP Technology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HYDRO Ti PRO</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L0411a</w:t>
            </w:r>
          </w:p>
        </w:tc>
      </w:tr>
      <w:tr>
        <w:trPr/>
        <w:tc>
          <w:tcPr>
            <w:tcW w:w="170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Metaverse &amp; Aplikasi XR</w:t>
            </w:r>
          </w:p>
        </w:tc>
        <w:tc>
          <w:tcPr>
            <w:tcW w:w="16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Sustainable Tech Special Award</w:t>
            </w:r>
          </w:p>
        </w:tc>
        <w:tc>
          <w:tcPr>
            <w:tcW w:w="2316"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Compal Electronics, Inc.</w:t>
            </w:r>
          </w:p>
        </w:tc>
        <w:tc>
          <w:tcPr>
            <w:tcW w:w="2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APAL 5G MR Glasses</w:t>
            </w:r>
          </w:p>
        </w:tc>
        <w:tc>
          <w:tcPr>
            <w:tcW w:w="844" w:type="dxa"/>
            <w:tcBorders>
              <w:top w:val="single" w:sz="6" w:space="0" w:color="808080"/>
              <w:left w:val="single" w:sz="6" w:space="0" w:color="808080"/>
              <w:bottom w:val="single" w:sz="6" w:space="0" w:color="808080"/>
              <w:right w:val="single" w:sz="6" w:space="0" w:color="808080"/>
            </w:tcBorders>
            <w:tcMar>
              <w:left w:w="68" w:type="dxa"/>
            </w:tcMar>
            <w:vAlign w:val="center"/>
          </w:tcPr>
          <w:p>
            <w:pPr>
              <w:pStyle w:val="Normal"/>
              <w:widowControl w:val="false"/>
              <w:spacing w:before="240" w:after="240"/>
              <w:jc w:val="left"/>
              <w:rPr>
                <w:sz w:val="24"/>
                <w:szCs w:val="24"/>
                <w:lang w:val="en-US" w:eastAsia="en-US"/>
              </w:rPr>
            </w:pPr>
            <w:r>
              <w:rPr>
                <w:rFonts w:eastAsia="Calibri" w:cs="Calibri" w:ascii="Calibri" w:hAnsi="Calibri"/>
                <w:b w:val="false"/>
                <w:bCs w:val="false"/>
                <w:lang w:val="en-US" w:eastAsia="en-US"/>
              </w:rPr>
              <w:t>M0102</w:t>
            </w:r>
          </w:p>
        </w:tc>
      </w:tr>
    </w:tbl>
    <w:p>
      <w:pPr>
        <w:pStyle w:val="Normal"/>
        <w:rPr>
          <w:sz w:val="24"/>
          <w:szCs w:val="24"/>
          <w:lang w:val="en-US" w:eastAsia="en-US"/>
        </w:rPr>
      </w:pPr>
      <w:r>
        <w:rPr>
          <w:sz w:val="24"/>
          <w:szCs w:val="24"/>
          <w:lang w:val="en-US" w:eastAsia="en-US"/>
        </w:rP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Tentang Taipei Computer Association (TCA)</w:t>
      </w:r>
    </w:p>
    <w:p>
      <w:pPr>
        <w:pStyle w:val="Normal"/>
        <w:rPr>
          <w:sz w:val="24"/>
          <w:szCs w:val="24"/>
          <w:lang w:val="en-US" w:eastAsia="en-US"/>
        </w:rPr>
      </w:pPr>
      <w:r>
        <w:rPr>
          <w:lang w:val="en-US" w:eastAsia="en-US"/>
        </w:rPr>
        <w:t>Didirikan pada 1974, Taipei Computer Association (TCA) merupakan organisasi industri terkemuka di Taiwan. 4.000 anggota TCA melibatkan berbagai segmen dari industri Information Communication Technology (ICT), menghasilkan lebih dari 80% nilai produksi keseluruhan industri ICT Taiwan. TCA memfasilitasi pertumbuhan industri ICT dengan terus menerus mencari peluang-peluang baru, dan menjadi jembatan ke pemerintah, akademis, masyarakat umum, juga sebagai jendela untuk badan profesional internasional. Acara-acara perdagangan seperti Taipei Game Show, Smart City Summit &amp; Expo, COMPUTEX TAIPEI, InnoVEX, IT Month, dan Edtech Taiwan. Kantor TCA berlokasi di Taipei, Taichung dan Kaohsiung juga kantor luar negeri di China, Jepang dan India.</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alibri">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caward.computex.biz/"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LibreOffice/7.3.3.2$Windows_X86_64 LibreOffice_project/d1d0ea68f081ee2800a922cac8f79445e4603348</Application>
  <AppVersion>15.0000</AppVersion>
  <Pages>6</Pages>
  <Words>1017</Words>
  <Characters>6158</Characters>
  <CharactersWithSpaces>6970</CharactersWithSpaces>
  <Paragraphs>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2023-05-29T14:31:11Z</dcterms:modified>
  <cp:revision>1</cp:revision>
  <dc:subject/>
  <dc:title>COMPUTEX 2023 Best Choice of the Year Diberikan kepada
MSI Z790 GODLIKE</dc:title>
</cp:coreProperties>
</file>

<file path=docProps/custom.xml><?xml version="1.0" encoding="utf-8"?>
<Properties xmlns="http://schemas.openxmlformats.org/officeDocument/2006/custom-properties" xmlns:vt="http://schemas.openxmlformats.org/officeDocument/2006/docPropsVTypes"/>
</file>