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DF" w:rsidRPr="00F03CF8" w:rsidRDefault="006C3961">
      <w:pPr>
        <w:rPr>
          <w:rFonts w:asciiTheme="minorHAnsi" w:hAnsiTheme="minorHAnsi" w:cstheme="minorHAnsi"/>
        </w:rPr>
      </w:pPr>
      <w:r w:rsidRPr="00F03CF8">
        <w:rPr>
          <w:rFonts w:asciiTheme="minorHAnsi" w:hAnsiTheme="minorHAnsi" w:cstheme="minorHAnsi"/>
        </w:rPr>
        <w:t>FOR IMMEDIATE RELEASE</w:t>
      </w:r>
    </w:p>
    <w:p w:rsidR="00B464DF" w:rsidRPr="00F03CF8" w:rsidRDefault="006C3961">
      <w:pPr>
        <w:pStyle w:val="1"/>
        <w:spacing w:before="0" w:beforeAutospacing="0" w:after="0" w:afterAutospacing="0"/>
        <w:jc w:val="center"/>
        <w:rPr>
          <w:rFonts w:asciiTheme="minorHAnsi" w:hAnsiTheme="minorHAnsi" w:cstheme="minorHAnsi"/>
        </w:rPr>
      </w:pPr>
      <w:r w:rsidRPr="00F03CF8">
        <w:rPr>
          <w:rFonts w:asciiTheme="minorHAnsi" w:hAnsiTheme="minorHAnsi" w:cstheme="minorHAnsi"/>
        </w:rPr>
        <w:t>TYAN Unleashes New Cloud and Storage Servers at SC20</w:t>
      </w:r>
    </w:p>
    <w:p w:rsidR="00B464DF" w:rsidRPr="00F03CF8" w:rsidRDefault="006C3961">
      <w:pPr>
        <w:pStyle w:val="2"/>
        <w:jc w:val="center"/>
        <w:rPr>
          <w:rFonts w:asciiTheme="minorHAnsi" w:hAnsiTheme="minorHAnsi" w:cstheme="minorHAnsi"/>
          <w:i/>
          <w:iCs/>
        </w:rPr>
      </w:pPr>
      <w:r w:rsidRPr="00F03CF8">
        <w:rPr>
          <w:rFonts w:asciiTheme="minorHAnsi" w:hAnsiTheme="minorHAnsi" w:cstheme="minorHAnsi"/>
          <w:i/>
          <w:iCs/>
        </w:rPr>
        <w:t>Featuring Memory-Based Computing, Scale-Out Applications, and Software-Defined Storage with support for 2nd Gen AMD EP</w:t>
      </w:r>
      <w:r w:rsidR="007F0179">
        <w:rPr>
          <w:rFonts w:asciiTheme="minorHAnsi" w:hAnsiTheme="minorHAnsi" w:cstheme="minorHAnsi"/>
          <w:i/>
          <w:iCs/>
        </w:rPr>
        <w:t>YC™ Processors for Data Centers</w:t>
      </w:r>
    </w:p>
    <w:p w:rsidR="00B464DF" w:rsidRPr="00F03CF8" w:rsidRDefault="006C3961">
      <w:pPr>
        <w:spacing w:after="240"/>
        <w:rPr>
          <w:rFonts w:asciiTheme="minorHAnsi" w:hAnsiTheme="minorHAnsi" w:cstheme="minorHAnsi"/>
        </w:rPr>
      </w:pPr>
      <w:r w:rsidRPr="00F03CF8">
        <w:rPr>
          <w:rFonts w:asciiTheme="minorHAnsi" w:hAnsiTheme="minorHAnsi" w:cstheme="minorHAnsi"/>
          <w:b/>
          <w:bCs/>
          <w:i/>
          <w:iCs/>
        </w:rPr>
        <w:t xml:space="preserve">Eureka, Calif. – November 12, 2020 – </w:t>
      </w:r>
      <w:r w:rsidRPr="00F03CF8">
        <w:rPr>
          <w:rFonts w:asciiTheme="minorHAnsi" w:hAnsiTheme="minorHAnsi" w:cstheme="minorHAnsi"/>
        </w:rPr>
        <w:t xml:space="preserve">TYAN®, an industry-leading server platform design manufacturer and a </w:t>
      </w:r>
      <w:proofErr w:type="spellStart"/>
      <w:r w:rsidRPr="00F03CF8">
        <w:rPr>
          <w:rFonts w:asciiTheme="minorHAnsi" w:hAnsiTheme="minorHAnsi" w:cstheme="minorHAnsi"/>
        </w:rPr>
        <w:t>MiTAC</w:t>
      </w:r>
      <w:proofErr w:type="spellEnd"/>
      <w:r w:rsidRPr="00F03CF8">
        <w:rPr>
          <w:rFonts w:asciiTheme="minorHAnsi" w:hAnsiTheme="minorHAnsi" w:cstheme="minorHAnsi"/>
        </w:rPr>
        <w:t xml:space="preserve"> Computing Technology Corporation subsidiary, will introduce its latest </w:t>
      </w:r>
      <w:hyperlink r:id="rId6" w:tgtFrame="_blank" w:history="1">
        <w:r w:rsidRPr="00F03CF8">
          <w:rPr>
            <w:rStyle w:val="a3"/>
            <w:rFonts w:asciiTheme="minorHAnsi" w:hAnsiTheme="minorHAnsi" w:cstheme="minorHAnsi"/>
          </w:rPr>
          <w:t>cloud and storage server platforms</w:t>
        </w:r>
      </w:hyperlink>
      <w:r w:rsidRPr="00F03CF8">
        <w:rPr>
          <w:rFonts w:asciiTheme="minorHAnsi" w:hAnsiTheme="minorHAnsi" w:cstheme="minorHAnsi"/>
        </w:rPr>
        <w:t xml:space="preserve"> powered by 2nd Gen AMD EPYC™ processors, which target modern data centers and enterprise markets, at </w:t>
      </w:r>
      <w:hyperlink r:id="rId7" w:tgtFrame="_blank" w:history="1">
        <w:r w:rsidRPr="00F03CF8">
          <w:rPr>
            <w:rStyle w:val="a3"/>
            <w:rFonts w:asciiTheme="minorHAnsi" w:hAnsiTheme="minorHAnsi" w:cstheme="minorHAnsi"/>
          </w:rPr>
          <w:t>SC20 virtual event</w:t>
        </w:r>
      </w:hyperlink>
      <w:r w:rsidRPr="00F03CF8">
        <w:rPr>
          <w:rFonts w:asciiTheme="minorHAnsi" w:hAnsiTheme="minorHAnsi" w:cstheme="minorHAnsi"/>
        </w:rPr>
        <w:t xml:space="preserve"> during November 17-19. </w:t>
      </w:r>
      <w:r w:rsidRPr="00F03CF8">
        <w:rPr>
          <w:rFonts w:asciiTheme="minorHAnsi" w:hAnsiTheme="minorHAnsi" w:cstheme="minorHAnsi"/>
        </w:rPr>
        <w:br/>
      </w:r>
      <w:r w:rsidRPr="00F03CF8">
        <w:rPr>
          <w:rFonts w:asciiTheme="minorHAnsi" w:hAnsiTheme="minorHAnsi" w:cstheme="minorHAnsi"/>
        </w:rPr>
        <w:br/>
        <w:t xml:space="preserve">“The accelerating deployment of AI, deep learning, and 5G technologies are powering cloud services we use every day, and therefore data center providers need to respond to these challenges and opportunities,” said Danny Hsu, Vice President of </w:t>
      </w:r>
      <w:proofErr w:type="spellStart"/>
      <w:r w:rsidRPr="00F03CF8">
        <w:rPr>
          <w:rFonts w:asciiTheme="minorHAnsi" w:hAnsiTheme="minorHAnsi" w:cstheme="minorHAnsi"/>
        </w:rPr>
        <w:t>MiTAC</w:t>
      </w:r>
      <w:proofErr w:type="spellEnd"/>
      <w:r w:rsidRPr="00F03CF8">
        <w:rPr>
          <w:rFonts w:asciiTheme="minorHAnsi" w:hAnsiTheme="minorHAnsi" w:cstheme="minorHAnsi"/>
        </w:rPr>
        <w:t xml:space="preserve"> Computing Technology Corporation's TYAN Business Unit. “TYAN’s new cloud and storage platforms provide a diverse range of highly capable options that meet modern application performance and power-efficiency requirements.”</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t>Memory-based computing in 1U dual-socket server</w:t>
      </w:r>
    </w:p>
    <w:p w:rsidR="00B464DF" w:rsidRPr="00F03CF8" w:rsidRDefault="006C3961">
      <w:pPr>
        <w:spacing w:after="240"/>
        <w:rPr>
          <w:rFonts w:asciiTheme="minorHAnsi" w:hAnsiTheme="minorHAnsi" w:cstheme="minorHAnsi"/>
        </w:rPr>
      </w:pPr>
      <w:r w:rsidRPr="00F03CF8">
        <w:rPr>
          <w:rFonts w:asciiTheme="minorHAnsi" w:hAnsiTheme="minorHAnsi" w:cstheme="minorHAnsi"/>
        </w:rPr>
        <w:t xml:space="preserve">The </w:t>
      </w:r>
      <w:hyperlink r:id="rId8" w:tgtFrame="_blank" w:history="1">
        <w:r w:rsidRPr="00F03CF8">
          <w:rPr>
            <w:rStyle w:val="a3"/>
            <w:rFonts w:asciiTheme="minorHAnsi" w:hAnsiTheme="minorHAnsi" w:cstheme="minorHAnsi"/>
          </w:rPr>
          <w:t>Transport CX GC79-B8252</w:t>
        </w:r>
      </w:hyperlink>
      <w:r w:rsidRPr="00F03CF8">
        <w:rPr>
          <w:rFonts w:asciiTheme="minorHAnsi" w:hAnsiTheme="minorHAnsi" w:cstheme="minorHAnsi"/>
        </w:rPr>
        <w:t xml:space="preserve"> and </w:t>
      </w:r>
      <w:hyperlink r:id="rId9" w:tgtFrame="_blank" w:history="1">
        <w:r w:rsidRPr="00F03CF8">
          <w:rPr>
            <w:rStyle w:val="a3"/>
            <w:rFonts w:asciiTheme="minorHAnsi" w:hAnsiTheme="minorHAnsi" w:cstheme="minorHAnsi"/>
          </w:rPr>
          <w:t>Transport CX GC79A-B8252</w:t>
        </w:r>
      </w:hyperlink>
      <w:r w:rsidRPr="00F03CF8">
        <w:rPr>
          <w:rFonts w:asciiTheme="minorHAnsi" w:hAnsiTheme="minorHAnsi" w:cstheme="minorHAnsi"/>
        </w:rPr>
        <w:t xml:space="preserve"> are 1U dual-socket AMD EPYC 7002 series processor-based server platforms featuring 32 DDR4 DIMM slots, two standard </w:t>
      </w:r>
      <w:proofErr w:type="spellStart"/>
      <w:r w:rsidRPr="00F03CF8">
        <w:rPr>
          <w:rFonts w:asciiTheme="minorHAnsi" w:hAnsiTheme="minorHAnsi" w:cstheme="minorHAnsi"/>
        </w:rPr>
        <w:t>PCIe</w:t>
      </w:r>
      <w:proofErr w:type="spellEnd"/>
      <w:r w:rsidRPr="00F03CF8">
        <w:rPr>
          <w:rFonts w:asciiTheme="minorHAnsi" w:hAnsiTheme="minorHAnsi" w:cstheme="minorHAnsi"/>
        </w:rPr>
        <w:t xml:space="preserve"> Gen.4 x16 expansion slots, and an OCP 3.0 LAN mezzanine slot. The GC79-B8252 platform provides four 3.5-inch SATA drive bays and four 2.5-inch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drive bays with tool-less carriers, while the GC79A-B8252 platform offers twelve </w:t>
      </w:r>
      <w:proofErr w:type="gramStart"/>
      <w:r w:rsidRPr="00F03CF8">
        <w:rPr>
          <w:rFonts w:asciiTheme="minorHAnsi" w:hAnsiTheme="minorHAnsi" w:cstheme="minorHAnsi"/>
        </w:rPr>
        <w:t>2.5-inch</w:t>
      </w:r>
      <w:proofErr w:type="gramEnd"/>
      <w:r w:rsidRPr="00F03CF8">
        <w:rPr>
          <w:rFonts w:asciiTheme="minorHAnsi" w:hAnsiTheme="minorHAnsi" w:cstheme="minorHAnsi"/>
        </w:rPr>
        <w:t xml:space="preserve"> drive bays with up to twelve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U.2 support. These two systems accommodate two internal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M.2 slots for secure boot drive installation. Both GC79-B8252 and GC79A-B8252 are ideal for high-density data center deployment with a variety of memory-based computing applications.</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t>High-density, 2U server platform with four front-serviced compute nodes</w:t>
      </w:r>
    </w:p>
    <w:p w:rsidR="00B464DF" w:rsidRPr="00F03CF8" w:rsidRDefault="006C3961">
      <w:pPr>
        <w:spacing w:after="240"/>
        <w:rPr>
          <w:rFonts w:asciiTheme="minorHAnsi" w:hAnsiTheme="minorHAnsi" w:cstheme="minorHAnsi"/>
        </w:rPr>
      </w:pPr>
      <w:r w:rsidRPr="00F03CF8">
        <w:rPr>
          <w:rFonts w:asciiTheme="minorHAnsi" w:hAnsiTheme="minorHAnsi" w:cstheme="minorHAnsi"/>
        </w:rPr>
        <w:t xml:space="preserve">The </w:t>
      </w:r>
      <w:hyperlink r:id="rId10" w:tgtFrame="_blank" w:history="1">
        <w:r w:rsidRPr="00F03CF8">
          <w:rPr>
            <w:rStyle w:val="a3"/>
            <w:rFonts w:asciiTheme="minorHAnsi" w:hAnsiTheme="minorHAnsi" w:cstheme="minorHAnsi"/>
          </w:rPr>
          <w:t>Transport CX TN73-B8037-X4S</w:t>
        </w:r>
      </w:hyperlink>
      <w:r w:rsidRPr="00F03CF8">
        <w:rPr>
          <w:rFonts w:asciiTheme="minorHAnsi" w:hAnsiTheme="minorHAnsi" w:cstheme="minorHAnsi"/>
        </w:rPr>
        <w:t xml:space="preserve"> is a 2U multi-node server platform with four front-serviced compute nodes, which offers better serviceability and minimizes onsite servicing hours. Each node supports one AMD EPYC 7002 series processor, four 2.5-inch </w:t>
      </w:r>
      <w:proofErr w:type="gramStart"/>
      <w:r w:rsidRPr="00F03CF8">
        <w:rPr>
          <w:rFonts w:asciiTheme="minorHAnsi" w:hAnsiTheme="minorHAnsi" w:cstheme="minorHAnsi"/>
        </w:rPr>
        <w:t>tool-</w:t>
      </w:r>
      <w:proofErr w:type="gramEnd"/>
      <w:r w:rsidRPr="00F03CF8">
        <w:rPr>
          <w:rFonts w:asciiTheme="minorHAnsi" w:hAnsiTheme="minorHAnsi" w:cstheme="minorHAnsi"/>
        </w:rPr>
        <w:t xml:space="preserve">less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/SATA drive bays, eight DDR4 DIMM slots, three internal cooling fans, two standard </w:t>
      </w:r>
      <w:proofErr w:type="spellStart"/>
      <w:r w:rsidRPr="00F03CF8">
        <w:rPr>
          <w:rFonts w:asciiTheme="minorHAnsi" w:hAnsiTheme="minorHAnsi" w:cstheme="minorHAnsi"/>
        </w:rPr>
        <w:t>PCIe</w:t>
      </w:r>
      <w:proofErr w:type="spellEnd"/>
      <w:r w:rsidRPr="00F03CF8">
        <w:rPr>
          <w:rFonts w:asciiTheme="minorHAnsi" w:hAnsiTheme="minorHAnsi" w:cstheme="minorHAnsi"/>
        </w:rPr>
        <w:t xml:space="preserve"> Gen.4 x16 expansion slots, two internal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M.2 slots and one OCP 2.0 LAN mezzanine slot. The TN73-B8037-X4S platform is designed for high-density, scale-out server deployments in HPC and CSP (Cloud Service Provider) front-end processing server applications.</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lastRenderedPageBreak/>
        <w:t>Cost-optimized 1U computing server</w:t>
      </w:r>
    </w:p>
    <w:p w:rsidR="00B464DF" w:rsidRPr="00F03CF8" w:rsidRDefault="006C3961">
      <w:pPr>
        <w:spacing w:after="240"/>
        <w:rPr>
          <w:rFonts w:asciiTheme="minorHAnsi" w:hAnsiTheme="minorHAnsi" w:cstheme="minorHAnsi"/>
        </w:rPr>
      </w:pPr>
      <w:r w:rsidRPr="00F03CF8">
        <w:rPr>
          <w:rFonts w:asciiTheme="minorHAnsi" w:hAnsiTheme="minorHAnsi" w:cstheme="minorHAnsi"/>
        </w:rPr>
        <w:t xml:space="preserve">For deployments that require cost-optimized computing and application caching, the </w:t>
      </w:r>
      <w:hyperlink r:id="rId11" w:tgtFrame="_blank" w:history="1">
        <w:r w:rsidRPr="00F03CF8">
          <w:rPr>
            <w:rStyle w:val="a3"/>
            <w:rFonts w:asciiTheme="minorHAnsi" w:hAnsiTheme="minorHAnsi" w:cstheme="minorHAnsi"/>
          </w:rPr>
          <w:t>Transport CX GC68-B8036-LE</w:t>
        </w:r>
      </w:hyperlink>
      <w:r w:rsidRPr="00F03CF8">
        <w:rPr>
          <w:rFonts w:asciiTheme="minorHAnsi" w:hAnsiTheme="minorHAnsi" w:cstheme="minorHAnsi"/>
        </w:rPr>
        <w:t xml:space="preserve"> is a 1U single-socket AMD EPYC 7002 series processor-based server platform, featuring four </w:t>
      </w:r>
      <w:proofErr w:type="gramStart"/>
      <w:r w:rsidRPr="00F03CF8">
        <w:rPr>
          <w:rFonts w:asciiTheme="minorHAnsi" w:hAnsiTheme="minorHAnsi" w:cstheme="minorHAnsi"/>
        </w:rPr>
        <w:t>3.5-inch</w:t>
      </w:r>
      <w:proofErr w:type="gramEnd"/>
      <w:r w:rsidRPr="00F03CF8">
        <w:rPr>
          <w:rFonts w:asciiTheme="minorHAnsi" w:hAnsiTheme="minorHAnsi" w:cstheme="minorHAnsi"/>
        </w:rPr>
        <w:t xml:space="preserve"> and four 2.5-inch tool-less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U.2 drive bays, is a direct fit for the workload. The expansion capability of the server includes a pair of </w:t>
      </w:r>
      <w:proofErr w:type="spellStart"/>
      <w:r w:rsidRPr="00F03CF8">
        <w:rPr>
          <w:rFonts w:asciiTheme="minorHAnsi" w:hAnsiTheme="minorHAnsi" w:cstheme="minorHAnsi"/>
        </w:rPr>
        <w:t>PCIe</w:t>
      </w:r>
      <w:proofErr w:type="spellEnd"/>
      <w:r w:rsidRPr="00F03CF8">
        <w:rPr>
          <w:rFonts w:asciiTheme="minorHAnsi" w:hAnsiTheme="minorHAnsi" w:cstheme="minorHAnsi"/>
        </w:rPr>
        <w:t xml:space="preserve"> Gen.4 x16 expansion and an OCP 2.0 LAN mezzanine slots. The GC68-B8036-LE platform can support up to 4TB memory by populating 16x 256GB DDR4 DIMMs. Meanwhile, the </w:t>
      </w:r>
      <w:hyperlink r:id="rId12" w:tgtFrame="_blank" w:history="1">
        <w:r w:rsidRPr="00F03CF8">
          <w:rPr>
            <w:rStyle w:val="a3"/>
            <w:rFonts w:asciiTheme="minorHAnsi" w:hAnsiTheme="minorHAnsi" w:cstheme="minorHAnsi"/>
          </w:rPr>
          <w:t>Transport CX GC68A-B8036</w:t>
        </w:r>
      </w:hyperlink>
      <w:r w:rsidRPr="00F03CF8">
        <w:rPr>
          <w:rFonts w:asciiTheme="minorHAnsi" w:hAnsiTheme="minorHAnsi" w:cstheme="minorHAnsi"/>
        </w:rPr>
        <w:t xml:space="preserve"> deploys the same motherboard as GC68-B8036-LE in a 1U chassis; accommodating twelve 2.5-inch tool-less drive bays with support up to twelve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U.2 devices for deployments with an extreme storage IOPS requirement.</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t>2U hybrid software-defined storage server</w:t>
      </w:r>
    </w:p>
    <w:p w:rsidR="00B464DF" w:rsidRPr="00F03CF8" w:rsidRDefault="006C3961">
      <w:pPr>
        <w:spacing w:after="240"/>
        <w:rPr>
          <w:rFonts w:asciiTheme="minorHAnsi" w:hAnsiTheme="minorHAnsi" w:cstheme="minorHAnsi"/>
        </w:rPr>
      </w:pPr>
      <w:r w:rsidRPr="00F03CF8">
        <w:rPr>
          <w:rFonts w:asciiTheme="minorHAnsi" w:hAnsiTheme="minorHAnsi" w:cstheme="minorHAnsi"/>
        </w:rPr>
        <w:t xml:space="preserve">The </w:t>
      </w:r>
      <w:hyperlink r:id="rId13" w:tgtFrame="_blank" w:history="1">
        <w:r w:rsidRPr="00F03CF8">
          <w:rPr>
            <w:rStyle w:val="a3"/>
            <w:rFonts w:asciiTheme="minorHAnsi" w:hAnsiTheme="minorHAnsi" w:cstheme="minorHAnsi"/>
          </w:rPr>
          <w:t>Transport SX TS65-B8253</w:t>
        </w:r>
      </w:hyperlink>
      <w:r w:rsidRPr="00F03CF8">
        <w:rPr>
          <w:rFonts w:asciiTheme="minorHAnsi" w:hAnsiTheme="minorHAnsi" w:cstheme="minorHAnsi"/>
        </w:rPr>
        <w:t xml:space="preserve"> is a 2U dual-socket AMD EPYC 7002 series processor-based storage server supporting 16 DDR4 DIMM slots and seven standard </w:t>
      </w:r>
      <w:proofErr w:type="spellStart"/>
      <w:r w:rsidRPr="00F03CF8">
        <w:rPr>
          <w:rFonts w:asciiTheme="minorHAnsi" w:hAnsiTheme="minorHAnsi" w:cstheme="minorHAnsi"/>
        </w:rPr>
        <w:t>PCIe</w:t>
      </w:r>
      <w:proofErr w:type="spellEnd"/>
      <w:r w:rsidRPr="00F03CF8">
        <w:rPr>
          <w:rFonts w:asciiTheme="minorHAnsi" w:hAnsiTheme="minorHAnsi" w:cstheme="minorHAnsi"/>
        </w:rPr>
        <w:t xml:space="preserve"> Gen.4 expansion slots. The platform is equipped with up to two 10GbE and two </w:t>
      </w:r>
      <w:proofErr w:type="spellStart"/>
      <w:r w:rsidRPr="00F03CF8">
        <w:rPr>
          <w:rFonts w:asciiTheme="minorHAnsi" w:hAnsiTheme="minorHAnsi" w:cstheme="minorHAnsi"/>
        </w:rPr>
        <w:t>GbE</w:t>
      </w:r>
      <w:proofErr w:type="spellEnd"/>
      <w:r w:rsidRPr="00F03CF8">
        <w:rPr>
          <w:rFonts w:asciiTheme="minorHAnsi" w:hAnsiTheme="minorHAnsi" w:cstheme="minorHAnsi"/>
        </w:rPr>
        <w:t xml:space="preserve"> onboard network connections, twelve front 3.5-inch tool-less SATA drive bays, up to four </w:t>
      </w:r>
      <w:proofErr w:type="spellStart"/>
      <w:r w:rsidRPr="00F03CF8">
        <w:rPr>
          <w:rFonts w:asciiTheme="minorHAnsi" w:hAnsiTheme="minorHAnsi" w:cstheme="minorHAnsi"/>
        </w:rPr>
        <w:t>NVMe</w:t>
      </w:r>
      <w:proofErr w:type="spellEnd"/>
      <w:r w:rsidRPr="00F03CF8">
        <w:rPr>
          <w:rFonts w:asciiTheme="minorHAnsi" w:hAnsiTheme="minorHAnsi" w:cstheme="minorHAnsi"/>
        </w:rPr>
        <w:t xml:space="preserve"> U.2 devices, and two rear 2.5-inch tool-less SATA drive bays for boot drive deployment. TS65-B8253 is a self-contained, hybrid storage server platform designed for software-defined storage deployments in the data centers and enterprises.</w:t>
      </w:r>
      <w:r w:rsidRPr="00F03CF8">
        <w:rPr>
          <w:rFonts w:asciiTheme="minorHAnsi" w:hAnsiTheme="minorHAnsi" w:cstheme="minorHAnsi"/>
        </w:rPr>
        <w:br/>
      </w:r>
      <w:r w:rsidRPr="00F03CF8">
        <w:rPr>
          <w:rFonts w:asciiTheme="minorHAnsi" w:hAnsiTheme="minorHAnsi" w:cstheme="minorHAnsi"/>
        </w:rPr>
        <w:br/>
        <w:t xml:space="preserve">Please click </w:t>
      </w:r>
      <w:hyperlink r:id="rId14" w:tgtFrame="_blank" w:history="1">
        <w:r w:rsidRPr="00F03CF8">
          <w:rPr>
            <w:rStyle w:val="a3"/>
            <w:rFonts w:asciiTheme="minorHAnsi" w:hAnsiTheme="minorHAnsi" w:cstheme="minorHAnsi"/>
          </w:rPr>
          <w:t>here</w:t>
        </w:r>
      </w:hyperlink>
      <w:r w:rsidRPr="00F03CF8">
        <w:rPr>
          <w:rFonts w:asciiTheme="minorHAnsi" w:hAnsiTheme="minorHAnsi" w:cstheme="minorHAnsi"/>
        </w:rPr>
        <w:t xml:space="preserve"> for more information about TYAN SC20 virtual event. </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t>Supporting Resources:</w:t>
      </w:r>
    </w:p>
    <w:p w:rsidR="00B464DF" w:rsidRPr="00F03CF8" w:rsidRDefault="006C3961">
      <w:pPr>
        <w:spacing w:after="240"/>
        <w:rPr>
          <w:rFonts w:asciiTheme="minorHAnsi" w:hAnsiTheme="minorHAnsi" w:cstheme="minorHAnsi"/>
        </w:rPr>
      </w:pPr>
      <w:r w:rsidRPr="00F03CF8">
        <w:rPr>
          <w:rFonts w:asciiTheme="minorHAnsi" w:hAnsiTheme="minorHAnsi" w:cstheme="minorHAnsi"/>
        </w:rPr>
        <w:t xml:space="preserve">Please watch this </w:t>
      </w:r>
      <w:hyperlink r:id="rId15" w:tgtFrame="_blank" w:history="1">
        <w:r w:rsidRPr="00F03CF8">
          <w:rPr>
            <w:rStyle w:val="a3"/>
            <w:rFonts w:asciiTheme="minorHAnsi" w:hAnsiTheme="minorHAnsi" w:cstheme="minorHAnsi"/>
          </w:rPr>
          <w:t>video</w:t>
        </w:r>
      </w:hyperlink>
      <w:r w:rsidRPr="00F03CF8">
        <w:rPr>
          <w:rFonts w:asciiTheme="minorHAnsi" w:hAnsiTheme="minorHAnsi" w:cstheme="minorHAnsi"/>
        </w:rPr>
        <w:t xml:space="preserve"> about </w:t>
      </w:r>
      <w:hyperlink r:id="rId16" w:tgtFrame="_blank" w:history="1">
        <w:r w:rsidRPr="00F03CF8">
          <w:rPr>
            <w:rStyle w:val="a3"/>
            <w:rFonts w:asciiTheme="minorHAnsi" w:hAnsiTheme="minorHAnsi" w:cstheme="minorHAnsi"/>
          </w:rPr>
          <w:t>TYAN 2nd Gen AMD EPYC servers</w:t>
        </w:r>
      </w:hyperlink>
      <w:r w:rsidRPr="00F03CF8">
        <w:rPr>
          <w:rFonts w:asciiTheme="minorHAnsi" w:hAnsiTheme="minorHAnsi" w:cstheme="minorHAnsi"/>
        </w:rPr>
        <w:t xml:space="preserve"> designed for modern data centers and enterprises.</w:t>
      </w:r>
    </w:p>
    <w:p w:rsidR="00B464DF" w:rsidRPr="00F03CF8" w:rsidRDefault="006C3961">
      <w:pPr>
        <w:pStyle w:val="3"/>
        <w:spacing w:before="0" w:beforeAutospacing="0" w:after="0" w:afterAutospacing="0"/>
        <w:rPr>
          <w:rFonts w:asciiTheme="minorHAnsi" w:hAnsiTheme="minorHAnsi" w:cstheme="minorHAnsi"/>
        </w:rPr>
      </w:pPr>
      <w:r w:rsidRPr="00F03CF8">
        <w:rPr>
          <w:rFonts w:asciiTheme="minorHAnsi" w:hAnsiTheme="minorHAnsi" w:cstheme="minorHAnsi"/>
        </w:rPr>
        <w:t>About TYAN</w:t>
      </w:r>
    </w:p>
    <w:p w:rsidR="006C3961" w:rsidRPr="00F03CF8" w:rsidRDefault="006C3961">
      <w:pPr>
        <w:rPr>
          <w:rFonts w:asciiTheme="minorHAnsi" w:hAnsiTheme="minorHAnsi" w:cstheme="minorHAnsi"/>
        </w:rPr>
      </w:pPr>
      <w:r w:rsidRPr="00F03CF8">
        <w:rPr>
          <w:rFonts w:asciiTheme="minorHAnsi" w:hAnsiTheme="minorHAnsi" w:cstheme="minorHAnsi"/>
        </w:rPr>
        <w:t xml:space="preserve">TYAN, as a leading server brand of </w:t>
      </w:r>
      <w:proofErr w:type="spellStart"/>
      <w:r w:rsidRPr="00F03CF8">
        <w:rPr>
          <w:rFonts w:asciiTheme="minorHAnsi" w:hAnsiTheme="minorHAnsi" w:cstheme="minorHAnsi"/>
        </w:rPr>
        <w:t>MiTAC</w:t>
      </w:r>
      <w:proofErr w:type="spellEnd"/>
      <w:r w:rsidRPr="00F03CF8">
        <w:rPr>
          <w:rFonts w:asciiTheme="minorHAnsi" w:hAnsiTheme="minorHAnsi" w:cstheme="minorHAnsi"/>
        </w:rPr>
        <w:t xml:space="preserve"> Computing Technology Corporation under the </w:t>
      </w:r>
      <w:proofErr w:type="spellStart"/>
      <w:r w:rsidRPr="00F03CF8">
        <w:rPr>
          <w:rFonts w:asciiTheme="minorHAnsi" w:hAnsiTheme="minorHAnsi" w:cstheme="minorHAnsi"/>
        </w:rPr>
        <w:t>MiTAC</w:t>
      </w:r>
      <w:proofErr w:type="spellEnd"/>
      <w:r w:rsidRPr="00F03CF8">
        <w:rPr>
          <w:rFonts w:asciiTheme="minorHAnsi" w:hAnsiTheme="minorHAnsi" w:cstheme="minorHAnsi"/>
        </w:rPr>
        <w:t xml:space="preserve"> Group (TSE:3706), designs, manufactures and markets advanced x86 and x86-64 server/workstation board technology, platforms and server solution products. Its products are sold to OEMs, VARs, System Integrators and Resellers worldwide for a wide range of applications. TYAN enables its customers to be technology leaders by providing scalable, highly-integrated, and reliable products for a wide range of applications such as server appliances and solutions for HPC, hyper-scale/data center, server storage and security appliance markets. For more information, visit </w:t>
      </w:r>
      <w:proofErr w:type="spellStart"/>
      <w:r w:rsidRPr="00F03CF8">
        <w:rPr>
          <w:rFonts w:asciiTheme="minorHAnsi" w:hAnsiTheme="minorHAnsi" w:cstheme="minorHAnsi"/>
        </w:rPr>
        <w:t>MiTAC’s</w:t>
      </w:r>
      <w:proofErr w:type="spellEnd"/>
      <w:r w:rsidRPr="00F03CF8">
        <w:rPr>
          <w:rFonts w:asciiTheme="minorHAnsi" w:hAnsiTheme="minorHAnsi" w:cstheme="minorHAnsi"/>
        </w:rPr>
        <w:t xml:space="preserve"> website at </w:t>
      </w:r>
      <w:hyperlink r:id="rId17" w:tgtFrame="_blank" w:history="1">
        <w:r w:rsidRPr="00F03CF8">
          <w:rPr>
            <w:rStyle w:val="a3"/>
            <w:rFonts w:asciiTheme="minorHAnsi" w:hAnsiTheme="minorHAnsi" w:cstheme="minorHAnsi"/>
          </w:rPr>
          <w:t>http://www.mic-holdings.com</w:t>
        </w:r>
      </w:hyperlink>
      <w:r w:rsidRPr="00F03CF8">
        <w:rPr>
          <w:rFonts w:asciiTheme="minorHAnsi" w:hAnsiTheme="minorHAnsi" w:cstheme="minorHAnsi"/>
        </w:rPr>
        <w:t xml:space="preserve"> or TYAN’s website at </w:t>
      </w:r>
      <w:hyperlink r:id="rId18" w:tgtFrame="_blank" w:history="1">
        <w:r w:rsidRPr="00F03CF8">
          <w:rPr>
            <w:rStyle w:val="a3"/>
            <w:rFonts w:asciiTheme="minorHAnsi" w:hAnsiTheme="minorHAnsi" w:cstheme="minorHAnsi"/>
          </w:rPr>
          <w:t>http://www.tyan.com</w:t>
        </w:r>
      </w:hyperlink>
      <w:r w:rsidRPr="00F03CF8">
        <w:rPr>
          <w:rFonts w:asciiTheme="minorHAnsi" w:hAnsiTheme="minorHAnsi" w:cstheme="minorHAnsi"/>
        </w:rPr>
        <w:br/>
      </w:r>
      <w:r w:rsidRPr="00F03CF8">
        <w:rPr>
          <w:rFonts w:asciiTheme="minorHAnsi" w:hAnsiTheme="minorHAnsi" w:cstheme="minorHAnsi"/>
        </w:rPr>
        <w:br/>
      </w:r>
      <w:r w:rsidRPr="00F03CF8">
        <w:rPr>
          <w:rFonts w:asciiTheme="minorHAnsi" w:hAnsiTheme="minorHAnsi" w:cstheme="minorHAnsi"/>
          <w:i/>
          <w:iCs/>
        </w:rPr>
        <w:t>AMD, the AMD Arrow logo, EPYC, and combinations thereof are trademarks of Advanced Micro Devices, Inc.</w:t>
      </w:r>
      <w:r w:rsidRPr="00F03CF8">
        <w:rPr>
          <w:rFonts w:asciiTheme="minorHAnsi" w:hAnsiTheme="minorHAnsi" w:cstheme="minorHAnsi"/>
        </w:rPr>
        <w:t xml:space="preserve"> </w:t>
      </w:r>
    </w:p>
    <w:sectPr w:rsidR="006C3961" w:rsidRPr="00F03CF8" w:rsidSect="00B464D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77" w:rsidRDefault="00C35E77" w:rsidP="00F03CF8">
      <w:r>
        <w:separator/>
      </w:r>
    </w:p>
  </w:endnote>
  <w:endnote w:type="continuationSeparator" w:id="0">
    <w:p w:rsidR="00C35E77" w:rsidRDefault="00C35E77" w:rsidP="00F03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77" w:rsidRDefault="00C35E77" w:rsidP="00F03CF8">
      <w:r>
        <w:separator/>
      </w:r>
    </w:p>
  </w:footnote>
  <w:footnote w:type="continuationSeparator" w:id="0">
    <w:p w:rsidR="00C35E77" w:rsidRDefault="00C35E77" w:rsidP="00F03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F03CF8"/>
    <w:rsid w:val="006C3961"/>
    <w:rsid w:val="007F0179"/>
    <w:rsid w:val="00B464DF"/>
    <w:rsid w:val="00C35E77"/>
    <w:rsid w:val="00F03C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DF"/>
    <w:rPr>
      <w:rFonts w:ascii="新細明體" w:eastAsia="新細明體" w:hAnsi="新細明體" w:cs="新細明體"/>
      <w:sz w:val="24"/>
      <w:szCs w:val="24"/>
    </w:rPr>
  </w:style>
  <w:style w:type="paragraph" w:styleId="1">
    <w:name w:val="heading 1"/>
    <w:basedOn w:val="a"/>
    <w:link w:val="10"/>
    <w:uiPriority w:val="9"/>
    <w:qFormat/>
    <w:rsid w:val="00B464D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464DF"/>
    <w:pPr>
      <w:spacing w:before="100" w:beforeAutospacing="1" w:after="100" w:afterAutospacing="1"/>
      <w:outlineLvl w:val="1"/>
    </w:pPr>
    <w:rPr>
      <w:b/>
      <w:bCs/>
      <w:sz w:val="36"/>
      <w:szCs w:val="36"/>
    </w:rPr>
  </w:style>
  <w:style w:type="paragraph" w:styleId="3">
    <w:name w:val="heading 3"/>
    <w:basedOn w:val="a"/>
    <w:link w:val="30"/>
    <w:uiPriority w:val="9"/>
    <w:qFormat/>
    <w:rsid w:val="00B464D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464D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464DF"/>
    <w:rPr>
      <w:rFonts w:asciiTheme="majorHAnsi" w:eastAsiaTheme="majorEastAsia" w:hAnsiTheme="majorHAnsi" w:cstheme="majorBidi"/>
      <w:b/>
      <w:bCs/>
      <w:sz w:val="48"/>
      <w:szCs w:val="48"/>
    </w:rPr>
  </w:style>
  <w:style w:type="character" w:styleId="a3">
    <w:name w:val="Hyperlink"/>
    <w:basedOn w:val="a0"/>
    <w:uiPriority w:val="99"/>
    <w:semiHidden/>
    <w:unhideWhenUsed/>
    <w:rsid w:val="00B464DF"/>
    <w:rPr>
      <w:color w:val="0000FF"/>
      <w:u w:val="single"/>
    </w:rPr>
  </w:style>
  <w:style w:type="character" w:styleId="a4">
    <w:name w:val="FollowedHyperlink"/>
    <w:basedOn w:val="a0"/>
    <w:uiPriority w:val="99"/>
    <w:semiHidden/>
    <w:unhideWhenUsed/>
    <w:rsid w:val="00B464DF"/>
    <w:rPr>
      <w:color w:val="800080"/>
      <w:u w:val="single"/>
    </w:rPr>
  </w:style>
  <w:style w:type="character" w:customStyle="1" w:styleId="30">
    <w:name w:val="標題 3 字元"/>
    <w:basedOn w:val="a0"/>
    <w:link w:val="3"/>
    <w:uiPriority w:val="9"/>
    <w:semiHidden/>
    <w:rsid w:val="00B464DF"/>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F03CF8"/>
    <w:pPr>
      <w:tabs>
        <w:tab w:val="center" w:pos="4153"/>
        <w:tab w:val="right" w:pos="8306"/>
      </w:tabs>
      <w:snapToGrid w:val="0"/>
    </w:pPr>
    <w:rPr>
      <w:sz w:val="20"/>
      <w:szCs w:val="20"/>
    </w:rPr>
  </w:style>
  <w:style w:type="character" w:customStyle="1" w:styleId="a6">
    <w:name w:val="頁首 字元"/>
    <w:basedOn w:val="a0"/>
    <w:link w:val="a5"/>
    <w:uiPriority w:val="99"/>
    <w:semiHidden/>
    <w:rsid w:val="00F03CF8"/>
    <w:rPr>
      <w:rFonts w:ascii="新細明體" w:eastAsia="新細明體" w:hAnsi="新細明體" w:cs="新細明體"/>
    </w:rPr>
  </w:style>
  <w:style w:type="paragraph" w:styleId="a7">
    <w:name w:val="footer"/>
    <w:basedOn w:val="a"/>
    <w:link w:val="a8"/>
    <w:uiPriority w:val="99"/>
    <w:semiHidden/>
    <w:unhideWhenUsed/>
    <w:rsid w:val="00F03CF8"/>
    <w:pPr>
      <w:tabs>
        <w:tab w:val="center" w:pos="4153"/>
        <w:tab w:val="right" w:pos="8306"/>
      </w:tabs>
      <w:snapToGrid w:val="0"/>
    </w:pPr>
    <w:rPr>
      <w:sz w:val="20"/>
      <w:szCs w:val="20"/>
    </w:rPr>
  </w:style>
  <w:style w:type="character" w:customStyle="1" w:styleId="a8">
    <w:name w:val="頁尾 字元"/>
    <w:basedOn w:val="a0"/>
    <w:link w:val="a7"/>
    <w:uiPriority w:val="99"/>
    <w:semiHidden/>
    <w:rsid w:val="00F03CF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yan.com/Barebones_GC79B8252_B8252G79V4E4HR-2T" TargetMode="External"/><Relationship Id="rId13" Type="http://schemas.openxmlformats.org/officeDocument/2006/relationships/hyperlink" Target="https://www.tyan.com/Barebones_TS65B8253_B8253T65V10E4HR" TargetMode="External"/><Relationship Id="rId18" Type="http://schemas.openxmlformats.org/officeDocument/2006/relationships/hyperlink" Target="http://www.tyan.com" TargetMode="External"/><Relationship Id="rId3" Type="http://schemas.openxmlformats.org/officeDocument/2006/relationships/webSettings" Target="webSettings.xml"/><Relationship Id="rId7" Type="http://schemas.openxmlformats.org/officeDocument/2006/relationships/hyperlink" Target="https://www.eventscribe.net/2020/SC20/index.asp?boothTarget=412824" TargetMode="External"/><Relationship Id="rId12" Type="http://schemas.openxmlformats.org/officeDocument/2006/relationships/hyperlink" Target="https://www.tyan.com/Barebones_GC68AB8036_B8036G68AE12HR" TargetMode="External"/><Relationship Id="rId17" Type="http://schemas.openxmlformats.org/officeDocument/2006/relationships/hyperlink" Target="http://www.mic-holdings.com" TargetMode="External"/><Relationship Id="rId2" Type="http://schemas.openxmlformats.org/officeDocument/2006/relationships/settings" Target="settings.xml"/><Relationship Id="rId16" Type="http://schemas.openxmlformats.org/officeDocument/2006/relationships/hyperlink" Target="https://www.tyan.com/EN/campaign/amd/2nd_gen_amd_epyc_platform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rKJJUwcRrG0" TargetMode="External"/><Relationship Id="rId11" Type="http://schemas.openxmlformats.org/officeDocument/2006/relationships/hyperlink" Target="https://www.tyan.com/Barebones_GC68B8036-LE_B8036G68V4E4HR-LE" TargetMode="External"/><Relationship Id="rId5" Type="http://schemas.openxmlformats.org/officeDocument/2006/relationships/endnotes" Target="endnotes.xml"/><Relationship Id="rId15" Type="http://schemas.openxmlformats.org/officeDocument/2006/relationships/hyperlink" Target="https://www.youtube.com/watch?v=rKJJUwcRrG0" TargetMode="External"/><Relationship Id="rId10" Type="http://schemas.openxmlformats.org/officeDocument/2006/relationships/hyperlink" Target="https://www.tyan.com/Barebones=TN73B8037=B8037T73X4-200PV4HR=description=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yan.com/Barebones_GC79AB8252_B8252G79AE12HR-2T" TargetMode="External"/><Relationship Id="rId14" Type="http://schemas.openxmlformats.org/officeDocument/2006/relationships/hyperlink" Target="https://www.tyan.com/EN/campaign/SC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TYAN Unleashes New Cloud and Storage Servers at SC20</dc:title>
  <dc:creator>Sandy</dc:creator>
  <cp:lastModifiedBy>Sandy</cp:lastModifiedBy>
  <cp:revision>3</cp:revision>
  <dcterms:created xsi:type="dcterms:W3CDTF">2020-11-11T15:51:00Z</dcterms:created>
  <dcterms:modified xsi:type="dcterms:W3CDTF">2020-11-12T03:08:00Z</dcterms:modified>
</cp:coreProperties>
</file>